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hd w:val="clear" w:color="auto" w:fill="c1e4f5"/>
        <w:spacing/>
        <w:ind/>
        <w:jc w:val="center"/>
        <w:rPr>
          <w:b/>
          <w:sz w:val="28"/>
          <w:szCs w:val="28"/>
        </w:rPr>
      </w:pPr>
      <w:r>
        <w:rPr>
          <w:b/>
          <w:sz w:val="28"/>
          <w:szCs w:val="28"/>
        </w:rPr>
      </w:r>
      <w:r>
        <w:rPr>
          <w:b/>
          <w:sz w:val="28"/>
          <w:szCs w:val="28"/>
        </w:rPr>
      </w:r>
      <w:r>
        <w:rPr>
          <w:b/>
          <w:sz w:val="28"/>
          <w:szCs w:val="28"/>
        </w:rPr>
      </w:r>
    </w:p>
    <w:p>
      <w:pPr>
        <w:pBdr/>
        <w:shd w:val="clear" w:color="auto" w:fill="c1e4f5"/>
        <w:spacing/>
        <w:ind/>
        <w:jc w:val="center"/>
        <w:rPr>
          <w:b/>
          <w:sz w:val="28"/>
          <w:szCs w:val="28"/>
        </w:rPr>
      </w:pPr>
      <w:r>
        <w:rPr>
          <w:b/>
          <w:sz w:val="28"/>
          <w:szCs w:val="28"/>
        </w:rPr>
        <w:t xml:space="preserve">Tremplins ARVIVA 2025</w:t>
      </w:r>
      <w:r>
        <w:rPr>
          <w:b/>
          <w:sz w:val="28"/>
          <w:szCs w:val="28"/>
        </w:rPr>
      </w:r>
      <w:r>
        <w:rPr>
          <w:b/>
          <w:sz w:val="28"/>
          <w:szCs w:val="28"/>
        </w:rPr>
      </w:r>
    </w:p>
    <w:p>
      <w:pPr>
        <w:pBdr/>
        <w:shd w:val="clear" w:color="auto" w:fill="c1e4f5"/>
        <w:spacing/>
        <w:ind/>
        <w:jc w:val="center"/>
        <w:rPr>
          <w:b/>
          <w:i/>
          <w:iCs/>
          <w:sz w:val="28"/>
          <w:szCs w:val="28"/>
        </w:rPr>
      </w:pPr>
      <w:r>
        <w:rPr>
          <w:b/>
          <w:i/>
          <w:iCs/>
          <w:sz w:val="28"/>
          <w:szCs w:val="28"/>
        </w:rPr>
        <w:t xml:space="preserve">Pour des initiatives durables dans le spectacle vivant !</w:t>
      </w:r>
      <w:r>
        <w:rPr>
          <w:b/>
          <w:i/>
          <w:iCs/>
          <w:sz w:val="28"/>
          <w:szCs w:val="28"/>
        </w:rPr>
      </w:r>
      <w:r>
        <w:rPr>
          <w:b/>
          <w:i/>
          <w:iCs/>
          <w:sz w:val="28"/>
          <w:szCs w:val="28"/>
        </w:rPr>
      </w:r>
    </w:p>
    <w:p>
      <w:pPr>
        <w:pBdr/>
        <w:shd w:val="clear" w:color="auto" w:fill="c1e4f5"/>
        <w:spacing/>
        <w:ind/>
        <w:jc w:val="center"/>
        <w:rPr>
          <w:b/>
        </w:rPr>
      </w:pPr>
      <w:r>
        <w:rPr>
          <w:b/>
        </w:rPr>
        <w:t xml:space="preserve">Règlement</w:t>
      </w:r>
      <w:r>
        <w:rPr>
          <w:b/>
        </w:rPr>
      </w:r>
      <w:r>
        <w:rPr>
          <w:b/>
        </w:rPr>
      </w:r>
    </w:p>
    <w:p>
      <w:pPr>
        <w:pBdr/>
        <w:shd w:val="clear" w:color="auto" w:fill="c1e4f5"/>
        <w:spacing/>
        <w:ind/>
        <w:jc w:val="both"/>
        <w:rPr>
          <w:b/>
        </w:rPr>
      </w:pPr>
      <w:r>
        <w:rPr>
          <w:b/>
        </w:rPr>
      </w:r>
      <w:r>
        <w:rPr>
          <w:b/>
        </w:rPr>
      </w:r>
      <w:r>
        <w:rPr>
          <w:b/>
        </w:rPr>
      </w:r>
    </w:p>
    <w:p>
      <w:pPr>
        <w:pBdr/>
        <w:spacing/>
        <w:ind/>
        <w:jc w:val="both"/>
        <w:rPr/>
      </w:pPr>
      <w:r/>
      <w:r/>
    </w:p>
    <w:p>
      <w:pPr>
        <w:pBdr/>
        <w:spacing/>
        <w:ind/>
        <w:jc w:val="both"/>
        <w:rPr/>
      </w:pPr>
      <w:r/>
      <w:r/>
    </w:p>
    <w:p>
      <w:pPr>
        <w:pBdr/>
        <w:shd w:val="clear" w:color="auto" w:fill="c1e4f5"/>
        <w:spacing/>
        <w:ind/>
        <w:rPr>
          <w:b/>
        </w:rPr>
      </w:pPr>
      <w:r>
        <w:rPr>
          <w:b/>
        </w:rPr>
        <w:t xml:space="preserve">CONTEXTE ET OBJECTIFS</w:t>
      </w:r>
      <w:r>
        <w:rPr>
          <w:b/>
        </w:rPr>
      </w:r>
      <w:r>
        <w:rPr>
          <w:b/>
        </w:rPr>
      </w:r>
    </w:p>
    <w:p>
      <w:pPr>
        <w:pBdr/>
        <w:spacing/>
        <w:ind/>
        <w:jc w:val="both"/>
        <w:rPr/>
      </w:pPr>
      <w:r/>
      <w:r/>
    </w:p>
    <w:p>
      <w:pPr>
        <w:pBdr/>
        <w:spacing/>
        <w:ind/>
        <w:jc w:val="both"/>
        <w:rPr/>
      </w:pPr>
      <w:r>
        <w:t xml:space="preserve">Les « Tremplins ARVIVA : pour des initiatives durables dans le spectacle vivant ! » sont nés en 2022 d'une double volonté de l’association ARVIVA - Arts vivants, Arts durables :</w:t>
      </w:r>
      <w:r/>
    </w:p>
    <w:p>
      <w:pPr>
        <w:pBdr/>
        <w:spacing/>
        <w:ind/>
        <w:jc w:val="both"/>
        <w:rPr/>
      </w:pPr>
      <w:r/>
      <w:r/>
    </w:p>
    <w:p>
      <w:pPr>
        <w:numPr>
          <w:ilvl w:val="0"/>
          <w:numId w:val="5"/>
        </w:numPr>
        <w:pBdr>
          <w:top w:val="none" w:color="000000" w:sz="4" w:space="0"/>
          <w:left w:val="none" w:color="000000" w:sz="4" w:space="0"/>
          <w:bottom w:val="none" w:color="000000" w:sz="4" w:space="0"/>
          <w:right w:val="none" w:color="000000" w:sz="4" w:space="0"/>
          <w:between w:val="none" w:color="000000" w:sz="4" w:space="0"/>
        </w:pBdr>
        <w:spacing/>
        <w:ind/>
        <w:jc w:val="both"/>
        <w:rPr/>
      </w:pPr>
      <w:r>
        <w:rPr>
          <w:color w:val="000000"/>
        </w:rPr>
        <w:t xml:space="preserve">D’encourager les projets favorisant la transformation écologique dans le</w:t>
      </w:r>
      <w:r>
        <w:rPr>
          <w:color w:val="000000"/>
        </w:rPr>
        <w:t xml:space="preserve"> </w:t>
      </w:r>
      <w:r>
        <w:rPr>
          <w:color w:val="000000"/>
        </w:rPr>
        <w:t xml:space="preserve">spectacle vivant</w:t>
      </w:r>
      <w:r>
        <w:t xml:space="preserve"> ;</w:t>
      </w:r>
      <w:r/>
    </w:p>
    <w:p>
      <w:pPr>
        <w:numPr>
          <w:ilvl w:val="0"/>
          <w:numId w:val="5"/>
        </w:numPr>
        <w:pBdr>
          <w:top w:val="none" w:color="000000" w:sz="4" w:space="0"/>
          <w:left w:val="none" w:color="000000" w:sz="4" w:space="0"/>
          <w:bottom w:val="none" w:color="000000" w:sz="4" w:space="0"/>
          <w:right w:val="none" w:color="000000" w:sz="4" w:space="0"/>
          <w:between w:val="none" w:color="000000" w:sz="4" w:space="0"/>
        </w:pBdr>
        <w:spacing/>
        <w:ind/>
        <w:jc w:val="both"/>
        <w:rPr/>
      </w:pPr>
      <w:r>
        <w:rPr>
          <w:color w:val="000000"/>
        </w:rPr>
        <w:t xml:space="preserve">De faire connaître ces actions pour faciliter leur essaimage et inspirer l’ensemble de la filière. </w:t>
      </w:r>
      <w:r/>
    </w:p>
    <w:p>
      <w:pPr>
        <w:pBdr>
          <w:top w:val="none" w:color="000000" w:sz="4" w:space="0"/>
          <w:left w:val="none" w:color="000000" w:sz="4" w:space="0"/>
          <w:bottom w:val="none" w:color="000000" w:sz="4" w:space="0"/>
          <w:right w:val="none" w:color="000000" w:sz="4" w:space="0"/>
          <w:between w:val="none" w:color="000000" w:sz="4" w:space="0"/>
        </w:pBdr>
        <w:spacing/>
        <w:ind/>
        <w:jc w:val="both"/>
        <w:rPr/>
      </w:pPr>
      <w:r>
        <w:br/>
        <w:t xml:space="preserve">Cette année, ARVIVA fait évoluer le dispositif de sélection des projets lauréats en s'appuyant sur ses 450 </w:t>
      </w:r>
      <w:r>
        <w:t xml:space="preserve">adhérent·es</w:t>
      </w:r>
      <w:r>
        <w:t xml:space="preserve"> et leur intelligence </w:t>
      </w:r>
      <w:r>
        <w:t xml:space="preserve">collective, afin</w:t>
      </w:r>
      <w:r>
        <w:t xml:space="preserve"> de valoriser largement l’ensemble des projets déposés, et pour expérimenter un mode d’évaluation mettant au </w:t>
      </w:r>
      <w:r>
        <w:t xml:space="preserve">cœur</w:t>
      </w:r>
      <w:r>
        <w:t xml:space="preserve"> la participation et la légitimité de toutes et tous.   </w:t>
      </w:r>
      <w:r/>
    </w:p>
    <w:p>
      <w:pPr>
        <w:pBdr>
          <w:top w:val="none" w:color="000000" w:sz="4" w:space="0"/>
          <w:left w:val="none" w:color="000000" w:sz="4" w:space="0"/>
          <w:bottom w:val="none" w:color="000000" w:sz="4" w:space="0"/>
          <w:right w:val="none" w:color="000000" w:sz="4" w:space="0"/>
        </w:pBdr>
        <w:spacing/>
        <w:ind/>
        <w:jc w:val="both"/>
        <w:rPr/>
      </w:pPr>
      <w:r>
        <w:t xml:space="preserve">Cette nouvelle édition des Tremplins souhaite mettre en lumière des projets</w:t>
      </w:r>
      <w:r>
        <w:t xml:space="preserve"> qui, au-delà d’initiatives exemplaires, participent à transformer en profondeur les modèles d’organisation, de production, de diffusion et de coopération dans le secteur culturel. Il s’agit de soutenir des démarches qui répondent à une question centrale :</w:t>
      </w:r>
      <w:r>
        <w:tab/>
      </w:r>
      <w:r/>
    </w:p>
    <w:p>
      <w:pPr>
        <w:pBdr>
          <w:top w:val="none" w:color="000000" w:sz="4" w:space="0"/>
          <w:left w:val="none" w:color="000000" w:sz="4" w:space="0"/>
          <w:bottom w:val="none" w:color="000000" w:sz="4" w:space="0"/>
          <w:right w:val="none" w:color="000000" w:sz="4" w:space="0"/>
        </w:pBdr>
        <w:spacing/>
        <w:ind/>
        <w:jc w:val="both"/>
        <w:rPr/>
      </w:pPr>
      <w:r>
        <w:br/>
      </w:r>
      <w:r>
        <w:rPr>
          <w:b/>
          <w:bCs/>
          <w:i/>
          <w:iCs/>
        </w:rPr>
        <w:t xml:space="preserve">Comment construisons-nous collectivement un modèle culturel soutenable, désirable et résilient ?</w:t>
      </w:r>
      <w:r/>
    </w:p>
    <w:p>
      <w:pPr>
        <w:pBdr>
          <w:top w:val="none" w:color="000000" w:sz="4" w:space="0"/>
          <w:left w:val="none" w:color="000000" w:sz="4" w:space="0"/>
          <w:bottom w:val="none" w:color="000000" w:sz="4" w:space="0"/>
          <w:right w:val="none" w:color="000000" w:sz="4" w:space="0"/>
        </w:pBdr>
        <w:spacing/>
        <w:ind/>
        <w:jc w:val="both"/>
        <w:rPr>
          <w:b/>
          <w:bCs/>
          <w:i/>
        </w:rPr>
      </w:pPr>
      <w:r>
        <w:rPr>
          <w:b/>
          <w:bCs/>
          <w:i/>
        </w:rPr>
      </w:r>
      <w:r>
        <w:rPr>
          <w:b/>
          <w:bCs/>
          <w:i/>
        </w:rPr>
      </w:r>
      <w:r>
        <w:rPr>
          <w:b/>
          <w:bCs/>
          <w:i/>
        </w:rPr>
      </w:r>
    </w:p>
    <w:p>
      <w:pPr>
        <w:pBdr>
          <w:top w:val="none" w:color="000000" w:sz="4" w:space="0"/>
          <w:left w:val="none" w:color="000000" w:sz="4" w:space="0"/>
          <w:bottom w:val="none" w:color="000000" w:sz="4" w:space="0"/>
          <w:right w:val="none" w:color="000000" w:sz="4" w:space="0"/>
        </w:pBdr>
        <w:spacing/>
        <w:ind/>
        <w:jc w:val="both"/>
        <w:rPr/>
      </w:pPr>
      <w:r>
        <w:t xml:space="preserve">Les projets attendus devront ainsi démontrer leur capacité à activer des leviers systémiques, à favoriser les dynamiques collectives et coopératives, et à proposer des expérimentations porteuses de transformations durables.</w:t>
      </w:r>
      <w:r/>
    </w:p>
    <w:p>
      <w:pPr>
        <w:pBdr/>
        <w:spacing/>
        <w:ind/>
        <w:jc w:val="both"/>
        <w:rPr/>
      </w:pPr>
      <w:r/>
      <w:r/>
    </w:p>
    <w:p>
      <w:pPr>
        <w:pBdr/>
        <w:spacing/>
        <w:ind/>
        <w:jc w:val="both"/>
        <w:rPr/>
      </w:pPr>
      <w:r/>
      <w:r/>
    </w:p>
    <w:p>
      <w:pPr>
        <w:pBdr/>
        <w:spacing/>
        <w:ind/>
        <w:jc w:val="both"/>
        <w:rPr>
          <w:i/>
          <w:iCs/>
        </w:rPr>
      </w:pPr>
      <w:r>
        <w:rPr>
          <w:i/>
          <w:iCs/>
        </w:rPr>
        <w:t xml:space="preserve">Les Tremplins ARVIVA sont organisés avec le soutien de La Caisse des Dépôts, mécène principal d’ARVIVA – Arts vivants, Arts durables.</w:t>
      </w:r>
      <w:r>
        <w:rPr>
          <w:i/>
          <w:iCs/>
        </w:rPr>
      </w:r>
      <w:r>
        <w:rPr>
          <w:i/>
          <w:iCs/>
        </w:rPr>
      </w:r>
    </w:p>
    <w:p>
      <w:pPr>
        <w:pBdr/>
        <w:spacing/>
        <w:ind/>
        <w:jc w:val="both"/>
        <w:rPr>
          <w:i/>
          <w:iCs/>
        </w:rPr>
      </w:pPr>
      <w:r>
        <w:rPr>
          <w:i/>
          <w:iCs/>
        </w:rPr>
        <w:t xml:space="preserve">L’association reçoit par ailleurs le soutien du Ministère de la Culture, </w:t>
      </w:r>
      <w:r>
        <w:rPr>
          <w:i/>
          <w:iCs/>
        </w:rPr>
        <w:t xml:space="preserve">de l’ADEME</w:t>
      </w:r>
      <w:r>
        <w:rPr>
          <w:i/>
          <w:iCs/>
        </w:rPr>
        <w:t xml:space="preserve">, de la Région Île-de-France, , de l'Union Européenne (dans le cadre du Fonds Social Européen +, opéré par l’Avise), et du  Centre National de la Musique.</w:t>
      </w:r>
      <w:r>
        <w:rPr>
          <w:i/>
          <w:iCs/>
        </w:rPr>
      </w:r>
      <w:r>
        <w:rPr>
          <w:i/>
          <w:iCs/>
        </w:rP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hd w:val="clear" w:color="auto" w:fill="c1e4f5"/>
        <w:spacing/>
        <w:ind/>
        <w:rPr>
          <w:b/>
        </w:rPr>
      </w:pPr>
      <w:r>
        <w:rPr>
          <w:b/>
        </w:rPr>
        <w:t xml:space="preserve">ELIGIBILITÉ DES PROJETS</w:t>
      </w:r>
      <w:r>
        <w:rPr>
          <w:b/>
        </w:rPr>
      </w:r>
      <w:r>
        <w:rPr>
          <w:b/>
        </w:rPr>
      </w:r>
    </w:p>
    <w:p>
      <w:pPr>
        <w:pBdr/>
        <w:spacing/>
        <w:ind/>
        <w:jc w:val="both"/>
        <w:rPr/>
      </w:pPr>
      <w:r/>
      <w:r/>
    </w:p>
    <w:p>
      <w:pPr>
        <w:pBdr/>
        <w:spacing/>
        <w:ind/>
        <w:jc w:val="both"/>
        <w:rPr>
          <w:u w:val="single"/>
        </w:rPr>
      </w:pPr>
      <w:r>
        <w:rPr>
          <w:u w:val="single"/>
        </w:rPr>
        <w:t xml:space="preserve">Bénéficiaires :</w:t>
      </w:r>
      <w:r>
        <w:rPr>
          <w:u w:val="single"/>
        </w:rPr>
      </w:r>
      <w:r>
        <w:rPr>
          <w:u w:val="single"/>
        </w:rPr>
      </w:r>
    </w:p>
    <w:p>
      <w:pPr>
        <w:pBdr/>
        <w:spacing/>
        <w:ind/>
        <w:jc w:val="both"/>
        <w:rPr/>
      </w:pPr>
      <w:r>
        <w:t xml:space="preserve">Toute personne morale (de droit privé ou public), ayant un siè</w:t>
      </w:r>
      <w:r>
        <w:t xml:space="preserve">ge social en France et dont le projet, objet de la candidature, a un impact sur le territoire de France métropolitaine ou d’outre-mer, titulaire d’une licence d’entrepreneur du spectacle (ou équivalent) à jour au moment du dépôt du dossier de candidature. </w:t>
      </w:r>
      <w:r>
        <w:br/>
        <w:t xml:space="preserve">La structure candidate, dans son fonctionnement et dans ses projets, doit respecter les règles du droit du travail (conventions collectives et/ou code général de la fonction publique).</w:t>
      </w:r>
      <w:r/>
    </w:p>
    <w:p>
      <w:pPr>
        <w:pBdr/>
        <w:spacing/>
        <w:ind/>
        <w:jc w:val="both"/>
        <w:rPr/>
      </w:pPr>
      <w:r/>
      <w:r/>
    </w:p>
    <w:p>
      <w:pPr>
        <w:pBdr/>
        <w:spacing/>
        <w:ind/>
        <w:jc w:val="both"/>
        <w:rPr/>
      </w:pPr>
      <w:r>
        <w:t xml:space="preserve">Pour les projets faisant coopérer plusieurs structures entre elles, tout partenariat </w:t>
      </w:r>
      <w:r>
        <w:br/>
        <w:t xml:space="preserve">doit être formalisé</w:t>
      </w:r>
      <w:r>
        <w:rPr>
          <w:vertAlign w:val="superscript"/>
        </w:rPr>
        <w:footnoteReference w:id="2"/>
      </w:r>
      <w:r>
        <w:t xml:space="preserve"> et le projet ne sera porté que par une des structures qui sera </w:t>
      </w:r>
      <w:r>
        <w:br/>
        <w:t xml:space="preserve">l’unique bénéficiaire de l’aide. Une même structure candidate ne pourra présenter qu’un seul projet par an. Les membres du Conseil d’Administration de l’association ARVIVA – Arts vivants, Arts durables, ne pourront pas présenter de projet.</w:t>
      </w:r>
      <w:r/>
    </w:p>
    <w:p>
      <w:pPr>
        <w:pBdr/>
        <w:spacing/>
        <w:ind/>
        <w:jc w:val="both"/>
        <w:rPr/>
      </w:pPr>
      <w:r/>
      <w:r/>
    </w:p>
    <w:p>
      <w:pPr>
        <w:pBdr/>
        <w:spacing/>
        <w:ind/>
        <w:jc w:val="both"/>
        <w:rPr>
          <w:u w:val="single"/>
        </w:rPr>
      </w:pPr>
      <w:r>
        <w:rPr>
          <w:u w:val="single"/>
        </w:rPr>
        <w:t xml:space="preserve">Orientation du dispositif :</w:t>
      </w:r>
      <w:r>
        <w:rPr>
          <w:u w:val="single"/>
        </w:rPr>
      </w:r>
      <w:r>
        <w:rPr>
          <w:u w:val="single"/>
        </w:rPr>
      </w:r>
    </w:p>
    <w:p>
      <w:pPr>
        <w:pBdr/>
        <w:spacing/>
        <w:ind/>
        <w:jc w:val="both"/>
        <w:rPr/>
      </w:pPr>
      <w:r>
        <w:t xml:space="preserve">Pour l’année 2025, le dispositif des Tremplins n’est pas orienté sur une thématique spécifique pour permettre à une diversité de structures de candidater. </w:t>
      </w:r>
      <w:r/>
    </w:p>
    <w:p>
      <w:pPr>
        <w:pBdr/>
        <w:spacing/>
        <w:ind/>
        <w:jc w:val="both"/>
        <w:rPr/>
      </w:pPr>
      <w:r>
        <w:t xml:space="preserve">Néanmoins, la sélection des projets finalistes prendra en compte la nature des précédents projets lauréats, ainsi que des points saillants déjà présents pour les éditions 2022, 2023 et 2024.</w:t>
      </w:r>
      <w:r/>
    </w:p>
    <w:p>
      <w:pPr>
        <w:pBdr/>
        <w:spacing/>
        <w:ind/>
        <w:jc w:val="both"/>
        <w:rPr/>
      </w:pPr>
      <w:r>
        <w:t xml:space="preserve">Les projets lauréats et finalistes des Tremplins 2022, 2023 et 2024 sont consultables ici : </w:t>
      </w:r>
      <w:hyperlink r:id="rId11" w:tooltip="https://arviva.org/tremplins" w:history="1">
        <w:r>
          <w:rPr>
            <w:rStyle w:val="995"/>
          </w:rPr>
          <w:t xml:space="preserve">https://arviva.org/tremplins</w:t>
        </w:r>
      </w:hyperlink>
      <w:r>
        <w:t xml:space="preserve"> </w:t>
      </w:r>
      <w:r/>
    </w:p>
    <w:p>
      <w:pPr>
        <w:pBdr/>
        <w:spacing/>
        <w:ind/>
        <w:jc w:val="both"/>
        <w:rPr/>
      </w:pPr>
      <w:r/>
      <w:r/>
    </w:p>
    <w:p>
      <w:pPr>
        <w:pBdr/>
        <w:spacing/>
        <w:ind/>
        <w:jc w:val="both"/>
        <w:rPr/>
      </w:pPr>
      <w:r>
        <w:t xml:space="preserve">De manière générale, les précédentes éditions des Tremplins ont reçu en nombre significatif les typologies et thématiques de projets suivants :</w:t>
      </w:r>
      <w:r/>
    </w:p>
    <w:p>
      <w:pPr>
        <w:pStyle w:val="979"/>
        <w:numPr>
          <w:ilvl w:val="0"/>
          <w:numId w:val="5"/>
        </w:numPr>
        <w:pBdr/>
        <w:spacing/>
        <w:ind/>
        <w:jc w:val="both"/>
        <w:rPr/>
      </w:pPr>
      <w:r>
        <w:t xml:space="preserve">Diffusion en mobilité douce : tournées à vélo, à pied, en voilier…</w:t>
      </w:r>
      <w:r/>
    </w:p>
    <w:p>
      <w:pPr>
        <w:pStyle w:val="979"/>
        <w:numPr>
          <w:ilvl w:val="0"/>
          <w:numId w:val="5"/>
        </w:numPr>
        <w:pBdr/>
        <w:spacing/>
        <w:ind/>
        <w:jc w:val="both"/>
        <w:rPr/>
      </w:pPr>
      <w:r>
        <w:t xml:space="preserve">Éco-conception et réemploi : éco-conception de décors, de costumes, nouveaux matériaux, création de ressourceries et mutualisation…</w:t>
      </w:r>
      <w:r/>
    </w:p>
    <w:p>
      <w:pPr>
        <w:pStyle w:val="979"/>
        <w:numPr>
          <w:ilvl w:val="0"/>
          <w:numId w:val="5"/>
        </w:numPr>
        <w:pBdr/>
        <w:spacing/>
        <w:ind/>
        <w:jc w:val="both"/>
        <w:rPr/>
      </w:pPr>
      <w:r>
        <w:t xml:space="preserve">Nouveaux usages de l’énergie : sobriété, </w:t>
      </w:r>
      <w:r>
        <w:t xml:space="preserve">low</w:t>
      </w:r>
      <w:r>
        <w:t xml:space="preserve">-tech, innovation technologique…</w:t>
      </w:r>
      <w:r/>
    </w:p>
    <w:p>
      <w:pPr>
        <w:pStyle w:val="979"/>
        <w:numPr>
          <w:ilvl w:val="0"/>
          <w:numId w:val="5"/>
        </w:numPr>
        <w:pBdr/>
        <w:spacing/>
        <w:ind/>
        <w:jc w:val="both"/>
        <w:rPr/>
      </w:pPr>
      <w:r>
        <w:t xml:space="preserve">Spectacles en espaces naturels : concerts en forêts, tournées en refuges…</w:t>
      </w:r>
      <w:r/>
    </w:p>
    <w:p>
      <w:pPr>
        <w:pBdr/>
        <w:spacing/>
        <w:ind/>
        <w:jc w:val="both"/>
        <w:rPr/>
      </w:pPr>
      <w:r/>
      <w:r/>
    </w:p>
    <w:p>
      <w:pPr>
        <w:pBdr/>
        <w:spacing/>
        <w:ind/>
        <w:jc w:val="both"/>
        <w:rPr>
          <w:u w:val="single"/>
        </w:rPr>
      </w:pPr>
      <w:r>
        <w:rPr>
          <w:u w:val="single"/>
        </w:rPr>
        <w:t xml:space="preserve">Nature des projets :</w:t>
      </w:r>
      <w:r>
        <w:rPr>
          <w:u w:val="single"/>
        </w:rPr>
      </w:r>
      <w:r>
        <w:rPr>
          <w:u w:val="single"/>
        </w:rPr>
      </w:r>
    </w:p>
    <w:p>
      <w:pPr>
        <w:pBdr/>
        <w:spacing/>
        <w:ind/>
        <w:jc w:val="both"/>
        <w:rPr/>
      </w:pPr>
      <w:r>
        <w:t xml:space="preserve">L’objet de la candidature doit être la réalisation d’une action, </w:t>
      </w:r>
      <w:r>
        <w:t xml:space="preserve">ou d’un programme d’actions, favorisant la transformation écologique dans le domaine du spectacle vivant. L’action propose une démarche structurée, une approche nouvelle dans la production, la création et/ou la diffusion d’un projet artistique ou culturel.</w:t>
      </w:r>
      <w:r/>
    </w:p>
    <w:p>
      <w:pPr>
        <w:pBdr/>
        <w:spacing/>
        <w:ind/>
        <w:jc w:val="both"/>
        <w:rPr/>
      </w:pPr>
      <w:r>
        <w:t xml:space="preserve">L’action, objet de la candidature, peut se situer dans la phase de conception (ex : écoconception, investissements durables, réduction des déplacements, i</w:t>
      </w:r>
      <w:r>
        <w:t xml:space="preserve">mplication des équipes, économie circulaire…) ou de mise en œuvre du projet (ex : mutualisation, mobilité décarbonée, économie d’énergie, circuits-courts, actions auprès des publics...).  L’action présente un caractère inspirant et transformateur pour les </w:t>
      </w:r>
      <w:r>
        <w:t xml:space="preserve">acteur·rice·s</w:t>
      </w:r>
      <w:r>
        <w:t xml:space="preserve"> du spectacle vivant (ex : </w:t>
      </w:r>
      <w:r>
        <w:t xml:space="preserve">minimisation</w:t>
      </w:r>
      <w:r>
        <w:t xml:space="preserve"> de l’empreinte environnementale, capacité de reproduction de la méthode, mode de gouvernance de projet </w:t>
      </w:r>
      <w:r>
        <w:t xml:space="preserve">novateur....</w:t>
      </w:r>
      <w:r>
        <w:t xml:space="preserve">).</w:t>
      </w:r>
      <w:r/>
    </w:p>
    <w:p>
      <w:pPr>
        <w:pBdr/>
        <w:spacing/>
        <w:ind/>
        <w:jc w:val="both"/>
        <w:rPr/>
      </w:pPr>
      <w:r>
        <w:t xml:space="preserve">L’action est en cours de réalisation ou à venir. Elle ne doit pas être terminée au moment du vote du réseau en octobre 2025. </w:t>
      </w:r>
      <w:r/>
    </w:p>
    <w:p>
      <w:pPr>
        <w:pBdr/>
        <w:spacing/>
        <w:ind/>
        <w:jc w:val="both"/>
        <w:rPr/>
      </w:pPr>
      <w:r/>
      <w:r/>
    </w:p>
    <w:p>
      <w:pPr>
        <w:pBdr/>
        <w:spacing/>
        <w:ind/>
        <w:jc w:val="both"/>
        <w:rPr/>
      </w:pPr>
      <w:r>
        <w:t xml:space="preserve">Si vous doutez concernant l’éligibilité ou de la pertinence de votre projet, nous vous encourageons à nous écrire sur notre boite mail dédiée avant de candidater :  </w:t>
      </w:r>
      <w:hyperlink r:id="rId12" w:tooltip="mailto:tremplins@arviva.org" w:history="1">
        <w:r>
          <w:rPr>
            <w:rStyle w:val="995"/>
          </w:rPr>
          <w:t xml:space="preserve">tremplins@arviva.org</w:t>
        </w:r>
      </w:hyperlink>
      <w:r>
        <w:t xml:space="preserve"> </w:t>
      </w:r>
      <w:r/>
    </w:p>
    <w:p>
      <w:pPr>
        <w:pBdr/>
        <w:spacing/>
        <w:ind/>
        <w:jc w:val="both"/>
        <w:rPr/>
      </w:pPr>
      <w:r/>
      <w:r/>
    </w:p>
    <w:p>
      <w:pPr>
        <w:pBdr/>
        <w:shd w:val="clear" w:color="auto" w:fill="c1e4f5"/>
        <w:spacing/>
        <w:ind/>
        <w:rPr>
          <w:b/>
        </w:rPr>
      </w:pPr>
      <w:r>
        <w:rPr>
          <w:b/>
        </w:rPr>
        <w:t xml:space="preserve">MODALITÉ D’APPRÉCIATION DES PROJETS</w:t>
      </w:r>
      <w:r>
        <w:rPr>
          <w:b/>
        </w:rPr>
      </w:r>
      <w:r>
        <w:rPr>
          <w:b/>
        </w:rPr>
      </w:r>
    </w:p>
    <w:p>
      <w:pPr>
        <w:pBdr/>
        <w:spacing/>
        <w:ind/>
        <w:jc w:val="both"/>
        <w:rPr/>
      </w:pPr>
      <w:r/>
      <w:r/>
    </w:p>
    <w:p>
      <w:pPr>
        <w:pBdr/>
        <w:spacing/>
        <w:ind/>
        <w:jc w:val="both"/>
        <w:rPr>
          <w:u w:val="single"/>
        </w:rPr>
      </w:pPr>
      <w:r>
        <w:rPr>
          <w:u w:val="single"/>
        </w:rPr>
        <w:t xml:space="preserve">Instruction des projets lauréats </w:t>
      </w:r>
      <w:r>
        <w:rPr>
          <w:u w:val="single"/>
        </w:rPr>
      </w:r>
      <w:r>
        <w:rPr>
          <w:u w:val="single"/>
        </w:rPr>
      </w:r>
    </w:p>
    <w:p>
      <w:pPr>
        <w:pBdr/>
        <w:spacing/>
        <w:ind/>
        <w:jc w:val="both"/>
        <w:rPr/>
      </w:pPr>
      <w:r>
        <w:t xml:space="preserve">L’instruction des dossiers sera effectuée par l’équipe</w:t>
      </w:r>
      <w:r>
        <w:t xml:space="preserve"> salariée</w:t>
      </w:r>
      <w:r>
        <w:t xml:space="preserve"> d’ARVIVA</w:t>
      </w:r>
      <w:r>
        <w:t xml:space="preserve"> et le CA.</w:t>
      </w:r>
      <w:r>
        <w:t xml:space="preserve"> Au fil de l’eau, </w:t>
      </w:r>
      <w:r>
        <w:t xml:space="preserve">entre les</w:t>
      </w:r>
      <w:r>
        <w:t xml:space="preserve"> 16 juin et le 1er Août, la coordinatrice des activités répondra aux candidatures reçues en écartant notamment celles qui ne correspondent pas au cadre d’éligibilité</w:t>
      </w:r>
      <w:r>
        <w:t xml:space="preserve">.</w:t>
      </w:r>
      <w:r>
        <w:t xml:space="preserve"> </w:t>
      </w:r>
      <w:r>
        <w:t xml:space="preserve">Elle pourra, si la candidature est envoyée au moins une semaine en amont de la date de clôture, questionner les </w:t>
      </w:r>
      <w:r>
        <w:t xml:space="preserve">porteur·euses</w:t>
      </w:r>
      <w:r>
        <w:t xml:space="preserve"> de projets si des informations sont manquantes pour sélectionner les </w:t>
      </w:r>
      <w:r>
        <w:t xml:space="preserve">lauréat·es</w:t>
      </w:r>
      <w:r>
        <w:t xml:space="preserve">. </w:t>
      </w:r>
      <w:r>
        <w:t xml:space="preserve">Au-delà</w:t>
      </w:r>
      <w:r>
        <w:t xml:space="preserve"> de ce délai de 7 jours avant la date de clôture, ARVIVA traitera les candidatures sans pouvoir assurer un retour courriel avant la clôture de la phase de candidature, le 31 juillet. </w:t>
      </w:r>
      <w:r/>
    </w:p>
    <w:p>
      <w:pPr>
        <w:pBdr/>
        <w:spacing/>
        <w:ind/>
        <w:jc w:val="both"/>
        <w:rPr>
          <w:highlight w:val="yellow"/>
        </w:rPr>
      </w:pPr>
      <w:r>
        <w:br/>
        <w:t xml:space="preserve">Du 1er au 10 Août, l’équipe </w:t>
      </w:r>
      <w:r>
        <w:t xml:space="preserve">salariée </w:t>
      </w:r>
      <w:r>
        <w:t xml:space="preserve">d’ARVIVA</w:t>
      </w:r>
      <w:r>
        <w:t xml:space="preserve"> </w:t>
      </w:r>
      <w:r>
        <w:t xml:space="preserve">et son CA </w:t>
      </w:r>
      <w:r>
        <w:t xml:space="preserve">sélectionnent un maximum de 10 dossiers lauréats qui présenteront leurs projets aux </w:t>
      </w:r>
      <w:r>
        <w:t xml:space="preserve">adhérent·es</w:t>
      </w:r>
      <w:r>
        <w:t xml:space="preserve"> de l’association à l’occasion d’une rencontre en ligne sur l’un des créneaux suivants :  02/09/2025, 16/09/2025 et 07/09/2025.</w:t>
      </w:r>
      <w:r>
        <w:rPr>
          <w:highlight w:val="yellow"/>
        </w:rPr>
      </w:r>
      <w:r>
        <w:rPr>
          <w:highlight w:val="yellow"/>
        </w:rPr>
      </w:r>
    </w:p>
    <w:p>
      <w:pPr>
        <w:pBdr/>
        <w:spacing/>
        <w:ind/>
        <w:jc w:val="both"/>
        <w:rPr/>
      </w:pPr>
      <w:r>
        <w:t xml:space="preserve">Les créneaux seront de maximum 1h30 et donneront la parole à plusieurs finalistes, qui présenterons, sous un format libre, leur projet aux </w:t>
      </w:r>
      <w:r>
        <w:t xml:space="preserve">adhérent·e·s</w:t>
      </w:r>
      <w:r>
        <w:t xml:space="preserve"> d’ARVIVA. Ces présentations seront </w:t>
      </w:r>
      <w:r>
        <w:t xml:space="preserve">suivies</w:t>
      </w:r>
      <w:r>
        <w:t xml:space="preserve"> d’un temps de questions. Ces sessions seront enregistrées pour être visionnées de façon asynchrone par </w:t>
      </w:r>
      <w:r>
        <w:t xml:space="preserve">les </w:t>
      </w:r>
      <w:r>
        <w:t xml:space="preserve">adhérent</w:t>
      </w:r>
      <w:r>
        <w:t xml:space="preserve">·e·s</w:t>
      </w:r>
      <w:r>
        <w:t xml:space="preserve"> qui le souhaitent. </w:t>
      </w:r>
      <w:r/>
    </w:p>
    <w:p>
      <w:pPr>
        <w:pBdr/>
        <w:spacing/>
        <w:ind/>
        <w:jc w:val="both"/>
        <w:rPr/>
      </w:pPr>
      <w:r/>
      <w:r/>
    </w:p>
    <w:p>
      <w:pPr>
        <w:pBdr/>
        <w:spacing/>
        <w:ind/>
        <w:jc w:val="both"/>
        <w:rPr/>
      </w:pPr>
      <w:r>
        <w:t xml:space="preserve">Les délibérations</w:t>
      </w:r>
      <w:r>
        <w:t xml:space="preserve"> ne seront pas ouvertes aux </w:t>
      </w:r>
      <w:r>
        <w:t xml:space="preserve">porteur·euse·s</w:t>
      </w:r>
      <w:r>
        <w:t xml:space="preserve"> des projets finalistes et</w:t>
      </w:r>
      <w:r>
        <w:t xml:space="preserve"> auront lieu le 14 octobre 2025 à l’occasion d’une demi-journée d’étude en ligne qui portera sur l’évaluation des projets dans le secteur culturel. </w:t>
      </w:r>
      <w:r>
        <w:t xml:space="preserve">Le vote, ouvert aux </w:t>
      </w:r>
      <w:r>
        <w:t xml:space="preserve">adhérent·e·s</w:t>
      </w:r>
      <w:r>
        <w:t xml:space="preserve"> et partenaires financiers d’ARVIVA, sera précédé d’une présentation des réflexions et théories sur l’évaluation des projets ainsi que d’un temps de débat. </w:t>
      </w:r>
      <w:r/>
    </w:p>
    <w:p>
      <w:pPr>
        <w:pBdr/>
        <w:spacing/>
        <w:ind/>
        <w:jc w:val="both"/>
        <w:rPr>
          <w:highlight w:val="yellow"/>
        </w:rPr>
      </w:pPr>
      <w:r>
        <w:br/>
        <w:t xml:space="preserve">C’est à l’issue de cette journée qu’un vote sera proposé aux </w:t>
      </w:r>
      <w:r>
        <w:t xml:space="preserve">adhérent·e·s</w:t>
      </w:r>
      <w:r>
        <w:t xml:space="preserve"> du réseau d’ARVIVA et aux partenaires financiers. </w:t>
      </w:r>
      <w:r>
        <w:rPr>
          <w:highlight w:val="yellow"/>
        </w:rPr>
      </w:r>
      <w:r>
        <w:rPr>
          <w:highlight w:val="yellow"/>
        </w:rP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u w:val="single"/>
        </w:rPr>
      </w:pPr>
      <w:r>
        <w:rPr>
          <w:u w:val="single"/>
        </w:rPr>
        <w:t xml:space="preserve">Critères de sélection :</w:t>
      </w:r>
      <w:r>
        <w:rPr>
          <w:u w:val="single"/>
        </w:rPr>
      </w:r>
      <w:r>
        <w:rPr>
          <w:u w:val="single"/>
        </w:rPr>
      </w:r>
    </w:p>
    <w:p>
      <w:pPr>
        <w:pBdr/>
        <w:spacing/>
        <w:ind/>
        <w:jc w:val="both"/>
        <w:rPr>
          <w:u w:val="single"/>
        </w:rPr>
      </w:pPr>
      <w:r>
        <w:rPr>
          <w:u w:val="single"/>
        </w:rPr>
      </w:r>
      <w:r>
        <w:rPr>
          <w:u w:val="single"/>
        </w:rPr>
      </w:r>
      <w:r>
        <w:rPr>
          <w:u w:val="single"/>
        </w:rPr>
      </w:r>
    </w:p>
    <w:p>
      <w:pPr>
        <w:numPr>
          <w:ilvl w:val="0"/>
          <w:numId w:val="6"/>
        </w:numPr>
        <w:pBdr/>
        <w:spacing/>
        <w:ind/>
        <w:jc w:val="both"/>
        <w:rPr>
          <w:rFonts w:ascii="noto sans symbols" w:hAnsi="noto sans symbols" w:eastAsia="Times New Roman" w:cs="Times New Roman"/>
          <w:color w:val="000000"/>
        </w:rPr>
      </w:pPr>
      <w:r>
        <w:rPr>
          <w:rFonts w:eastAsia="Times New Roman" w:cs="Times New Roman"/>
          <w:b/>
          <w:bCs/>
          <w:color w:val="000000"/>
        </w:rPr>
        <w:t xml:space="preserve">Inspirant et original</w:t>
      </w:r>
      <w:r>
        <w:rPr>
          <w:rFonts w:ascii="noto sans symbols" w:hAnsi="noto sans symbols" w:eastAsia="Times New Roman" w:cs="Times New Roman"/>
          <w:color w:val="000000"/>
        </w:rPr>
      </w:r>
      <w:r>
        <w:rPr>
          <w:rFonts w:ascii="noto sans symbols" w:hAnsi="noto sans symbols" w:eastAsia="Times New Roman" w:cs="Times New Roman"/>
          <w:color w:val="000000"/>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Contribution à la transformation écologique du secteur</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État des lieux et capacité à positionner le projet au regard de l’existant</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Caractère expérimental au sens large, innovation technique ou d’usage : nouvelles pratiques, réappropriation d’anciennes pratiques, </w:t>
      </w:r>
      <w:r>
        <w:rPr>
          <w:rFonts w:eastAsia="Times New Roman" w:cs="Times New Roman"/>
          <w:i/>
          <w:iCs/>
          <w:color w:val="000000"/>
        </w:rPr>
        <w:t xml:space="preserve">low</w:t>
      </w:r>
      <w:r>
        <w:rPr>
          <w:rFonts w:eastAsia="Times New Roman" w:cs="Times New Roman"/>
          <w:i/>
          <w:iCs/>
          <w:color w:val="000000"/>
        </w:rPr>
        <w:t xml:space="preserve"> tech…</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Modélisation et capacité du projet à essaimer (auprès du secteur et du public)</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Adéquation du propos artistique / de la démarche de la structure / de son modèle économique avec les enjeux environnementaux</w:t>
      </w:r>
      <w:r>
        <w:rPr>
          <w:rFonts w:ascii="Times New Roman" w:hAnsi="Times New Roman" w:eastAsia="Times New Roman" w:cs="Times New Roman"/>
          <w:i/>
          <w:iCs/>
        </w:rPr>
      </w:r>
      <w:r>
        <w:rPr>
          <w:rFonts w:ascii="Times New Roman" w:hAnsi="Times New Roman" w:eastAsia="Times New Roman" w:cs="Times New Roman"/>
          <w:i/>
          <w:iCs/>
        </w:rPr>
      </w:r>
    </w:p>
    <w:p>
      <w:pPr>
        <w:pBdr/>
        <w:spacing/>
        <w:ind/>
        <w:rPr>
          <w:rFonts w:ascii="Times New Roman" w:hAnsi="Times New Roman" w:eastAsia="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numPr>
          <w:ilvl w:val="0"/>
          <w:numId w:val="8"/>
        </w:numPr>
        <w:pBdr/>
        <w:spacing/>
        <w:ind/>
        <w:jc w:val="both"/>
        <w:rPr>
          <w:rFonts w:ascii="noto sans symbols" w:hAnsi="noto sans symbols" w:eastAsia="Times New Roman" w:cs="Times New Roman"/>
          <w:color w:val="000000"/>
        </w:rPr>
      </w:pPr>
      <w:r>
        <w:rPr>
          <w:rFonts w:eastAsia="Times New Roman" w:cs="Times New Roman"/>
          <w:b/>
          <w:bCs/>
          <w:color w:val="000000"/>
        </w:rPr>
        <w:t xml:space="preserve">Minimisation</w:t>
      </w:r>
      <w:r>
        <w:rPr>
          <w:rFonts w:eastAsia="Times New Roman" w:cs="Times New Roman"/>
          <w:b/>
          <w:bCs/>
          <w:color w:val="000000"/>
        </w:rPr>
        <w:t xml:space="preserve"> de l’empreinte environnementale</w:t>
      </w:r>
      <w:r>
        <w:rPr>
          <w:rFonts w:ascii="noto sans symbols" w:hAnsi="noto sans symbols" w:eastAsia="Times New Roman" w:cs="Times New Roman"/>
          <w:color w:val="000000"/>
        </w:rPr>
      </w:r>
      <w:r>
        <w:rPr>
          <w:rFonts w:ascii="noto sans symbols" w:hAnsi="noto sans symbols" w:eastAsia="Times New Roman" w:cs="Times New Roman"/>
          <w:color w:val="000000"/>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Objectifs qualitatifs et/ou quantitatifs appréciés</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Considération large des enjeux environnementaux (limites planétaires, justice sociale)</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Pertinence des moyens mis en œuvre</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Méthodologie d’évaluation</w:t>
      </w:r>
      <w:r>
        <w:rPr>
          <w:rFonts w:ascii="Times New Roman" w:hAnsi="Times New Roman" w:eastAsia="Times New Roman" w:cs="Times New Roman"/>
          <w:i/>
          <w:iCs/>
        </w:rPr>
      </w:r>
      <w:r>
        <w:rPr>
          <w:rFonts w:ascii="Times New Roman" w:hAnsi="Times New Roman" w:eastAsia="Times New Roman" w:cs="Times New Roman"/>
          <w:i/>
          <w:iCs/>
        </w:rPr>
      </w:r>
    </w:p>
    <w:p>
      <w:pPr>
        <w:pBdr/>
        <w:spacing/>
        <w:ind/>
        <w:rPr>
          <w:rFonts w:ascii="Times New Roman" w:hAnsi="Times New Roman" w:eastAsia="Times New Roman" w:cs="Times New Roman"/>
        </w:rPr>
      </w:pPr>
      <w:r>
        <w:rPr>
          <w:rFonts w:ascii="Times New Roman" w:hAnsi="Times New Roman" w:eastAsia="Times New Roman" w:cs="Times New Roman"/>
        </w:rPr>
      </w:r>
      <w:r>
        <w:rPr>
          <w:rFonts w:ascii="Times New Roman" w:hAnsi="Times New Roman" w:eastAsia="Times New Roman" w:cs="Times New Roman"/>
        </w:rPr>
      </w:r>
      <w:r>
        <w:rPr>
          <w:rFonts w:ascii="Times New Roman" w:hAnsi="Times New Roman" w:eastAsia="Times New Roman" w:cs="Times New Roman"/>
        </w:rPr>
      </w:r>
    </w:p>
    <w:p>
      <w:pPr>
        <w:numPr>
          <w:ilvl w:val="0"/>
          <w:numId w:val="9"/>
        </w:numPr>
        <w:pBdr/>
        <w:spacing/>
        <w:ind/>
        <w:jc w:val="both"/>
        <w:rPr>
          <w:rFonts w:ascii="noto sans symbols" w:hAnsi="noto sans symbols" w:eastAsia="Times New Roman" w:cs="Times New Roman"/>
          <w:color w:val="000000"/>
        </w:rPr>
      </w:pPr>
      <w:r>
        <w:rPr>
          <w:rFonts w:eastAsia="Times New Roman" w:cs="Times New Roman"/>
          <w:b/>
          <w:bCs/>
          <w:color w:val="000000"/>
        </w:rPr>
        <w:t xml:space="preserve">Partenariat et coopération</w:t>
      </w:r>
      <w:r>
        <w:rPr>
          <w:rFonts w:ascii="noto sans symbols" w:hAnsi="noto sans symbols" w:eastAsia="Times New Roman" w:cs="Times New Roman"/>
          <w:color w:val="000000"/>
        </w:rPr>
      </w:r>
      <w:r>
        <w:rPr>
          <w:rFonts w:ascii="noto sans symbols" w:hAnsi="noto sans symbols" w:eastAsia="Times New Roman" w:cs="Times New Roman"/>
          <w:color w:val="000000"/>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Cohérence et diversité des partenaires (dimension </w:t>
      </w:r>
      <w:r>
        <w:rPr>
          <w:rFonts w:eastAsia="Times New Roman" w:cs="Times New Roman"/>
          <w:i/>
          <w:iCs/>
          <w:color w:val="000000"/>
        </w:rPr>
        <w:t xml:space="preserve">transectorielle</w:t>
      </w:r>
      <w:r>
        <w:rPr>
          <w:rFonts w:eastAsia="Times New Roman" w:cs="Times New Roman"/>
          <w:i/>
          <w:iCs/>
          <w:color w:val="000000"/>
        </w:rPr>
        <w:t xml:space="preserve"> : collaboration avec ESRI (Établissement Supérieur, Recherche et Innovation), avec structures de l’Économie Sociale et Solidaire …)</w:t>
      </w:r>
      <w:r>
        <w:rPr>
          <w:rFonts w:ascii="Times New Roman" w:hAnsi="Times New Roman" w:eastAsia="Times New Roman" w:cs="Times New Roman"/>
          <w:i/>
          <w:iCs/>
        </w:rPr>
        <w:t xml:space="preserve">, et/ou d’autres structures hors secteur culturel.</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Nature de la relation et modalités d’implication des partenaires</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Méthodologie de cette coopération</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i/>
          <w:iCs/>
        </w:rPr>
      </w:pPr>
      <w:r>
        <w:rPr>
          <w:rFonts w:eastAsia="Times New Roman" w:cs="Times New Roman"/>
          <w:i/>
          <w:iCs/>
          <w:color w:val="000000"/>
        </w:rPr>
        <w:t xml:space="preserve">Ancrage territorial de la coopération</w:t>
      </w:r>
      <w:r>
        <w:rPr>
          <w:rFonts w:ascii="Times New Roman" w:hAnsi="Times New Roman" w:eastAsia="Times New Roman" w:cs="Times New Roman"/>
          <w:i/>
          <w:iCs/>
        </w:rPr>
      </w:r>
      <w:r>
        <w:rPr>
          <w:rFonts w:ascii="Times New Roman" w:hAnsi="Times New Roman" w:eastAsia="Times New Roman" w:cs="Times New Roman"/>
          <w:i/>
          <w:iCs/>
        </w:rPr>
      </w:r>
    </w:p>
    <w:p>
      <w:pPr>
        <w:pBdr/>
        <w:spacing/>
        <w:ind/>
        <w:jc w:val="both"/>
        <w:rPr>
          <w:rFonts w:ascii="Times New Roman" w:hAnsi="Times New Roman" w:eastAsia="Times New Roman" w:cs="Times New Roman"/>
          <w:bCs/>
          <w:i/>
        </w:rPr>
      </w:pPr>
      <w:r>
        <w:rPr>
          <w:rFonts w:ascii="Times New Roman" w:hAnsi="Times New Roman" w:eastAsia="Times New Roman" w:cs="Times New Roman"/>
          <w:bCs/>
          <w:i/>
        </w:rPr>
      </w:r>
      <w:r>
        <w:rPr>
          <w:rFonts w:ascii="Times New Roman" w:hAnsi="Times New Roman" w:eastAsia="Times New Roman" w:cs="Times New Roman"/>
          <w:bCs/>
          <w:i/>
        </w:rPr>
      </w:r>
      <w:r>
        <w:rPr>
          <w:rFonts w:ascii="Times New Roman" w:hAnsi="Times New Roman" w:eastAsia="Times New Roman" w:cs="Times New Roman"/>
          <w:bCs/>
          <w:i/>
        </w:rPr>
      </w:r>
    </w:p>
    <w:p>
      <w:pPr>
        <w:pStyle w:val="979"/>
        <w:numPr>
          <w:ilvl w:val="0"/>
          <w:numId w:val="17"/>
        </w:numPr>
        <w:pBdr/>
        <w:spacing/>
        <w:ind/>
        <w:jc w:val="both"/>
        <w:rPr>
          <w:rFonts w:ascii="Arial" w:hAnsi="Arial" w:cs="Arial"/>
          <w:b/>
          <w:bCs/>
        </w:rPr>
      </w:pPr>
      <w:r>
        <w:rPr>
          <w:rFonts w:ascii="Arial" w:hAnsi="Arial" w:eastAsia="Arial" w:cs="Arial"/>
          <w:b/>
          <w:bCs/>
        </w:rPr>
        <w:t xml:space="preserve">Caractère transformateur du secteur culturel </w:t>
      </w:r>
      <w:r>
        <w:rPr>
          <w:rFonts w:ascii="Arial" w:hAnsi="Arial" w:cs="Arial"/>
          <w:b/>
          <w:bCs/>
        </w:rPr>
      </w:r>
      <w:r>
        <w:rPr>
          <w:rFonts w:ascii="Arial" w:hAnsi="Arial" w:cs="Arial"/>
          <w:b/>
          <w:bCs/>
        </w:rPr>
      </w:r>
    </w:p>
    <w:p>
      <w:pPr>
        <w:pBdr/>
        <w:spacing/>
        <w:ind/>
        <w:jc w:val="both"/>
        <w:rPr>
          <w:rFonts w:ascii="Times New Roman" w:hAnsi="Times New Roman" w:eastAsia="Times New Roman" w:cs="Times New Roman"/>
          <w:b/>
        </w:rPr>
      </w:pPr>
      <w:r>
        <w:rPr>
          <w:rFonts w:ascii="Times New Roman" w:hAnsi="Times New Roman" w:eastAsia="Times New Roman" w:cs="Times New Roman"/>
          <w:b/>
        </w:rPr>
      </w:r>
      <w:r>
        <w:rPr>
          <w:rFonts w:ascii="Times New Roman" w:hAnsi="Times New Roman" w:eastAsia="Times New Roman" w:cs="Times New Roman"/>
          <w:b/>
        </w:rPr>
      </w:r>
      <w:r>
        <w:rPr>
          <w:rFonts w:ascii="Times New Roman" w:hAnsi="Times New Roman" w:eastAsia="Times New Roman" w:cs="Times New Roman"/>
          <w:b/>
        </w:rPr>
      </w:r>
    </w:p>
    <w:p>
      <w:pPr>
        <w:pBdr>
          <w:top w:val="none" w:color="000000" w:sz="4" w:space="0"/>
          <w:left w:val="none" w:color="000000" w:sz="4" w:space="0"/>
          <w:bottom w:val="none" w:color="000000" w:sz="4" w:space="0"/>
          <w:right w:val="none" w:color="000000" w:sz="4" w:space="0"/>
        </w:pBdr>
        <w:spacing/>
        <w:ind/>
        <w:jc w:val="both"/>
        <w:rPr>
          <w:bCs/>
          <w:i/>
        </w:rPr>
      </w:pPr>
      <w:r>
        <w:rPr>
          <w:i/>
          <w:iCs/>
        </w:rPr>
        <w:t xml:space="preserve">Capacité du projet à questionner ou à réinventer les cadres de fonctionnement traditionnels (artistiques, économiques, organisationnels, symboliques)</w:t>
      </w:r>
      <w:r>
        <w:rPr>
          <w:bCs/>
          <w:i/>
        </w:rPr>
      </w:r>
      <w:r>
        <w:rPr>
          <w:bCs/>
          <w:i/>
        </w:rPr>
      </w:r>
    </w:p>
    <w:p>
      <w:pPr>
        <w:pBdr>
          <w:top w:val="none" w:color="000000" w:sz="4" w:space="0"/>
          <w:left w:val="none" w:color="000000" w:sz="4" w:space="0"/>
          <w:bottom w:val="none" w:color="000000" w:sz="4" w:space="0"/>
          <w:right w:val="none" w:color="000000" w:sz="4" w:space="0"/>
        </w:pBdr>
        <w:spacing/>
        <w:ind/>
        <w:jc w:val="both"/>
        <w:rPr>
          <w:bCs/>
          <w:i/>
        </w:rPr>
      </w:pPr>
      <w:r>
        <w:rPr>
          <w:i/>
          <w:iCs/>
        </w:rPr>
        <w:t xml:space="preserve">Impact systémique : influence potentielle sur les pratiques du secteur, sur les politiques publiques ou les représentations collectives</w:t>
      </w:r>
      <w:r>
        <w:rPr>
          <w:bCs/>
          <w:i/>
        </w:rPr>
      </w:r>
      <w:r>
        <w:rPr>
          <w:bCs/>
          <w:i/>
        </w:rPr>
      </w:r>
    </w:p>
    <w:p>
      <w:pPr>
        <w:pBdr>
          <w:top w:val="none" w:color="000000" w:sz="4" w:space="0"/>
          <w:left w:val="none" w:color="000000" w:sz="4" w:space="0"/>
          <w:bottom w:val="none" w:color="000000" w:sz="4" w:space="0"/>
          <w:right w:val="none" w:color="000000" w:sz="4" w:space="0"/>
        </w:pBdr>
        <w:spacing/>
        <w:ind/>
        <w:jc w:val="both"/>
        <w:rPr>
          <w:bCs/>
          <w:i/>
        </w:rPr>
      </w:pPr>
      <w:r>
        <w:rPr>
          <w:i/>
          <w:iCs/>
        </w:rPr>
        <w:t xml:space="preserve">Capacité à inspirer, à ouvrir de nouveaux possibles et à faire levier sur les freins structurels du secteur</w:t>
      </w:r>
      <w:r>
        <w:rPr>
          <w:bCs/>
          <w:i/>
        </w:rPr>
      </w:r>
      <w:r>
        <w:rPr>
          <w:bCs/>
          <w:i/>
        </w:rPr>
      </w:r>
    </w:p>
    <w:p>
      <w:pPr>
        <w:pBdr>
          <w:top w:val="none" w:color="000000" w:sz="4" w:space="0"/>
          <w:left w:val="none" w:color="000000" w:sz="4" w:space="0"/>
          <w:bottom w:val="none" w:color="000000" w:sz="4" w:space="0"/>
          <w:right w:val="none" w:color="000000" w:sz="4" w:space="0"/>
        </w:pBdr>
        <w:spacing/>
        <w:ind/>
        <w:jc w:val="both"/>
        <w:rPr>
          <w:bCs/>
          <w:i/>
        </w:rPr>
      </w:pPr>
      <w:r>
        <w:rPr>
          <w:i/>
          <w:iCs/>
        </w:rPr>
        <w:t xml:space="preserve">Capacité d’essaimage : reproductibilité/adaptabilité dans d'autres contextes territoriaux ou culturels</w:t>
      </w:r>
      <w:r>
        <w:rPr>
          <w:bCs/>
          <w:i/>
        </w:rPr>
      </w:r>
      <w:r>
        <w:rPr>
          <w:bCs/>
          <w:i/>
        </w:rPr>
      </w:r>
    </w:p>
    <w:p>
      <w:pPr>
        <w:pBdr/>
        <w:spacing/>
        <w:ind/>
        <w:jc w:val="both"/>
        <w:rPr>
          <w:rFonts w:ascii="Times New Roman" w:hAnsi="Times New Roman" w:eastAsia="Times New Roman" w:cs="Times New Roman"/>
          <w:b/>
        </w:rPr>
      </w:pPr>
      <w:r>
        <w:rPr>
          <w:rFonts w:ascii="Times New Roman" w:hAnsi="Times New Roman" w:eastAsia="Times New Roman" w:cs="Times New Roman"/>
          <w:b/>
        </w:rPr>
      </w:r>
      <w:r>
        <w:rPr>
          <w:rFonts w:ascii="Times New Roman" w:hAnsi="Times New Roman" w:eastAsia="Times New Roman" w:cs="Times New Roman"/>
          <w:b/>
        </w:rPr>
      </w:r>
      <w:r>
        <w:rPr>
          <w:rFonts w:ascii="Times New Roman" w:hAnsi="Times New Roman" w:eastAsia="Times New Roman" w:cs="Times New Roman"/>
          <w:b/>
        </w:rPr>
      </w:r>
    </w:p>
    <w:p>
      <w:pPr>
        <w:pBdr/>
        <w:spacing/>
        <w:ind/>
        <w:jc w:val="both"/>
        <w:rPr/>
      </w:pPr>
      <w:r/>
      <w:r/>
    </w:p>
    <w:p>
      <w:pPr>
        <w:pStyle w:val="979"/>
        <w:numPr>
          <w:ilvl w:val="0"/>
          <w:numId w:val="21"/>
        </w:numPr>
        <w:pBdr/>
        <w:spacing/>
        <w:ind/>
        <w:jc w:val="both"/>
        <w:rPr/>
      </w:pPr>
      <w:r>
        <w:rPr>
          <w:b/>
          <w:bCs/>
        </w:rPr>
        <w:t xml:space="preserve">Critères complémentaires : </w:t>
      </w:r>
      <w:r>
        <w:t xml:space="preserve">parité F/H, diversité et inclusion des personnes en situation de handicap dans l’équipe porteuse du projet, adéquation des moyens financiers aux ambitions du projet</w:t>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hd w:val="clear" w:color="auto" w:fill="c1e4f5"/>
        <w:spacing/>
        <w:ind/>
        <w:rPr>
          <w:b/>
        </w:rPr>
      </w:pPr>
      <w:r>
        <w:rPr>
          <w:b/>
        </w:rPr>
        <w:t xml:space="preserve">NATURE DE L’AIDE</w:t>
      </w:r>
      <w:r>
        <w:rPr>
          <w:b/>
        </w:rPr>
      </w:r>
      <w:r>
        <w:rPr>
          <w:b/>
        </w:rPr>
      </w:r>
    </w:p>
    <w:p>
      <w:pPr>
        <w:pBdr/>
        <w:spacing/>
        <w:ind/>
        <w:jc w:val="both"/>
        <w:rPr/>
      </w:pPr>
      <w:r/>
      <w:r/>
    </w:p>
    <w:p>
      <w:pPr>
        <w:pStyle w:val="979"/>
        <w:numPr>
          <w:ilvl w:val="0"/>
          <w:numId w:val="14"/>
        </w:numPr>
        <w:pBdr>
          <w:top w:val="none" w:color="000000" w:sz="4" w:space="0"/>
          <w:left w:val="none" w:color="000000" w:sz="4" w:space="0"/>
          <w:bottom w:val="none" w:color="000000" w:sz="4" w:space="0"/>
          <w:right w:val="none" w:color="000000" w:sz="4" w:space="0"/>
          <w:between w:val="none" w:color="000000" w:sz="4" w:space="0"/>
        </w:pBdr>
        <w:spacing/>
        <w:ind/>
        <w:jc w:val="both"/>
        <w:rPr>
          <w:u w:val="single"/>
        </w:rPr>
      </w:pPr>
      <w:r>
        <w:rPr>
          <w:color w:val="000000"/>
          <w:u w:val="single"/>
        </w:rPr>
        <w:t xml:space="preserve">Un soutien financier </w:t>
      </w:r>
      <w:r>
        <w:rPr>
          <w:u w:val="single"/>
        </w:rPr>
      </w:r>
      <w:r>
        <w:rPr>
          <w:u w:val="single"/>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Le montant de l’aide financière sera compris entre 3 000€ et 10 000€ TTC (la dotation globale des Tremplins 2025 est de 20 000€ TTC, répartie entre </w:t>
      </w:r>
      <w:r>
        <w:rPr>
          <w:color w:val="000000"/>
        </w:rPr>
        <w:t xml:space="preserve">les </w:t>
      </w:r>
      <w:r>
        <w:rPr>
          <w:color w:val="000000"/>
        </w:rPr>
        <w:t xml:space="preserve">lauréat</w:t>
      </w:r>
      <w:r>
        <w:rPr>
          <w:color w:val="000000"/>
        </w:rPr>
        <w:t xml:space="preserve">·e·s</w:t>
      </w:r>
      <w:r>
        <w:rPr>
          <w:color w:val="000000"/>
        </w:rPr>
        <w:t xml:space="preserve"> dont le nombre n’est pas déterminé à l’avance). Les projets qui présentent une demande d’aide financière comprise entre 20% et 80% du budget total du projet seront favorisés.</w:t>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Les dépenses éligibles sont les suivantes :</w:t>
      </w:r>
      <w:r>
        <w:rPr>
          <w:color w:val="000000"/>
        </w:rPr>
      </w:r>
      <w:r>
        <w:rPr>
          <w:color w:val="000000"/>
        </w:rPr>
      </w:r>
    </w:p>
    <w:p>
      <w:pPr>
        <w:pStyle w:val="979"/>
        <w:numPr>
          <w:ilvl w:val="0"/>
          <w:numId w:val="15"/>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Dépenses pré-opérationnelles (diagnostic, étude, formation...)</w:t>
      </w:r>
      <w:r>
        <w:rPr>
          <w:color w:val="000000"/>
        </w:rPr>
      </w:r>
      <w:r>
        <w:rPr>
          <w:color w:val="000000"/>
        </w:rPr>
      </w:r>
    </w:p>
    <w:p>
      <w:pPr>
        <w:pStyle w:val="979"/>
        <w:numPr>
          <w:ilvl w:val="0"/>
          <w:numId w:val="15"/>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Achats et prestations de services</w:t>
      </w:r>
      <w:r>
        <w:rPr>
          <w:color w:val="000000"/>
        </w:rPr>
      </w:r>
      <w:r>
        <w:rPr>
          <w:color w:val="000000"/>
        </w:rPr>
      </w:r>
    </w:p>
    <w:p>
      <w:pPr>
        <w:pStyle w:val="979"/>
        <w:numPr>
          <w:ilvl w:val="0"/>
          <w:numId w:val="15"/>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Les droits d’</w:t>
      </w:r>
      <w:r>
        <w:rPr>
          <w:color w:val="000000"/>
        </w:rPr>
        <w:t xml:space="preserve">auteur·es</w:t>
      </w:r>
      <w:r>
        <w:rPr>
          <w:color w:val="000000"/>
        </w:rPr>
      </w:r>
      <w:r>
        <w:rPr>
          <w:color w:val="000000"/>
        </w:rPr>
      </w:r>
    </w:p>
    <w:p>
      <w:pPr>
        <w:pStyle w:val="979"/>
        <w:numPr>
          <w:ilvl w:val="0"/>
          <w:numId w:val="15"/>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Charges de personnel (dédiés au projet)</w:t>
      </w:r>
      <w:r>
        <w:rPr>
          <w:color w:val="000000"/>
        </w:rPr>
      </w:r>
      <w:r>
        <w:rPr>
          <w:color w:val="000000"/>
        </w:rPr>
      </w:r>
    </w:p>
    <w:p>
      <w:pPr>
        <w:pStyle w:val="979"/>
        <w:numPr>
          <w:ilvl w:val="0"/>
          <w:numId w:val="15"/>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Les frais de fonctionnement de la structure, dans la limite de 10% du budget total du projet.</w:t>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Un acompte de 60% de montant de l’aide financière sera versé après signature d’une convention entre la structure lauréate et l’association ARVIVA. </w:t>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Le solde sera versé après réception d’un budget réalisé détaillé qui fera apparaître l’ensemble des dépenses éligibles nécessaires à la réalisation du projet ainsi qu’un bilan du projet réalisé, suivant les méthodes d’évaluation proposées.</w:t>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Des justificatifs pourront être demandés aux </w:t>
      </w:r>
      <w:r>
        <w:rPr>
          <w:color w:val="000000"/>
        </w:rPr>
        <w:t xml:space="preserve">lauréat·e·s</w:t>
      </w:r>
      <w:r>
        <w:rPr>
          <w:color w:val="000000"/>
        </w:rPr>
        <w:t xml:space="preserve"> (factures, notes de droit d’</w:t>
      </w:r>
      <w:r>
        <w:rPr>
          <w:color w:val="000000"/>
        </w:rPr>
        <w:t xml:space="preserve">auteur·e</w:t>
      </w:r>
      <w:r>
        <w:rPr>
          <w:color w:val="000000"/>
        </w:rPr>
        <w:t xml:space="preserve">, livre de paie etc. Les factures devront être adressé</w:t>
      </w:r>
      <w:r>
        <w:rPr>
          <w:color w:val="000000"/>
        </w:rPr>
        <w:t xml:space="preserve">es au nom de la structure lauréate porteuse du projet). Les dépenses peuvent également être antérieures à la date de dépôt du dossier, si elles sont dans le champ de l’éligibilité notamment pour les projets en cours de réalisation lors du dépôt du dossier.</w:t>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Po</w:t>
      </w:r>
      <w:r>
        <w:rPr>
          <w:color w:val="000000"/>
        </w:rPr>
        <w:t xml:space="preserve">ur les dépenses postérieures à l’annonce de l’attribution des dotations, les structures auront 12 mois pour transmettre leur budget réalisé à l’association ARVIVA. Passé ce délai, l’association ARVIVA ne versera plus la somme, même restante, aux structures</w:t>
      </w:r>
      <w:r>
        <w:rPr>
          <w:color w:val="000000"/>
        </w:rPr>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pPr>
      <w:r/>
      <w:r/>
    </w:p>
    <w:p>
      <w:pPr>
        <w:pStyle w:val="979"/>
        <w:numPr>
          <w:ilvl w:val="0"/>
          <w:numId w:val="14"/>
        </w:numPr>
        <w:pBdr>
          <w:top w:val="none" w:color="000000" w:sz="4" w:space="0"/>
          <w:left w:val="none" w:color="000000" w:sz="4" w:space="0"/>
          <w:bottom w:val="none" w:color="000000" w:sz="4" w:space="0"/>
          <w:right w:val="none" w:color="000000" w:sz="4" w:space="0"/>
          <w:between w:val="none" w:color="000000" w:sz="4" w:space="0"/>
        </w:pBdr>
        <w:spacing/>
        <w:ind/>
        <w:jc w:val="both"/>
        <w:rPr>
          <w:u w:val="single"/>
        </w:rPr>
      </w:pPr>
      <w:r>
        <w:rPr>
          <w:color w:val="000000"/>
          <w:u w:val="single"/>
        </w:rPr>
        <w:t xml:space="preserve">Une mise en lumière du projet dans le réseau ARVIVA</w:t>
      </w:r>
      <w:r>
        <w:rPr>
          <w:u w:val="single"/>
        </w:rPr>
      </w:r>
      <w:r>
        <w:rPr>
          <w:u w:val="single"/>
        </w:rPr>
      </w:r>
    </w:p>
    <w:p>
      <w:pPr>
        <w:pBdr>
          <w:top w:val="none" w:color="000000" w:sz="4" w:space="0"/>
          <w:left w:val="none" w:color="000000" w:sz="4" w:space="0"/>
          <w:bottom w:val="none" w:color="000000" w:sz="4" w:space="0"/>
          <w:right w:val="none" w:color="000000" w:sz="4" w:space="0"/>
          <w:between w:val="none" w:color="000000" w:sz="4" w:space="0"/>
        </w:pBdr>
        <w:spacing/>
        <w:ind/>
        <w:jc w:val="both"/>
        <w:rPr/>
      </w:pPr>
      <w:r>
        <w:rPr>
          <w:color w:val="000000"/>
        </w:rPr>
        <w:t xml:space="preserve">Celle-ci se concrétise comme suit :</w:t>
      </w:r>
      <w:r/>
    </w:p>
    <w:p>
      <w:pPr>
        <w:numPr>
          <w:ilvl w:val="1"/>
          <w:numId w:val="14"/>
        </w:numPr>
        <w:pBdr>
          <w:top w:val="none" w:color="000000" w:sz="4" w:space="0"/>
          <w:left w:val="none" w:color="000000" w:sz="4" w:space="0"/>
          <w:bottom w:val="none" w:color="000000" w:sz="4" w:space="0"/>
          <w:right w:val="none" w:color="000000" w:sz="4" w:space="0"/>
          <w:between w:val="none" w:color="000000" w:sz="4" w:space="0"/>
        </w:pBdr>
        <w:spacing/>
        <w:ind/>
        <w:jc w:val="both"/>
        <w:rPr/>
      </w:pPr>
      <w:r>
        <w:rPr>
          <w:color w:val="000000"/>
        </w:rPr>
        <w:t xml:space="preserve">Publication des projets lauréats sur le site internet d’ARVIVA</w:t>
      </w:r>
      <w:r/>
    </w:p>
    <w:p>
      <w:pPr>
        <w:numPr>
          <w:ilvl w:val="1"/>
          <w:numId w:val="14"/>
        </w:numPr>
        <w:pBdr>
          <w:top w:val="none" w:color="000000" w:sz="4" w:space="0"/>
          <w:left w:val="none" w:color="000000" w:sz="4" w:space="0"/>
          <w:bottom w:val="none" w:color="000000" w:sz="4" w:space="0"/>
          <w:right w:val="none" w:color="000000" w:sz="4" w:space="0"/>
          <w:between w:val="none" w:color="000000" w:sz="4" w:space="0"/>
        </w:pBdr>
        <w:spacing/>
        <w:ind/>
        <w:jc w:val="both"/>
        <w:rPr/>
      </w:pPr>
      <w:r>
        <w:rPr>
          <w:color w:val="000000"/>
        </w:rPr>
        <w:t xml:space="preserve">Transmission des informations </w:t>
      </w:r>
      <w:r>
        <w:t xml:space="preserve">sur les</w:t>
      </w:r>
      <w:r>
        <w:rPr>
          <w:color w:val="000000"/>
        </w:rPr>
        <w:t xml:space="preserve"> projets lauréats aux partenaires d’ARVIVA, au réseau des DRAC et à la presse</w:t>
      </w:r>
      <w:r/>
    </w:p>
    <w:p>
      <w:pPr>
        <w:numPr>
          <w:ilvl w:val="1"/>
          <w:numId w:val="14"/>
        </w:numPr>
        <w:pBdr>
          <w:top w:val="none" w:color="000000" w:sz="4" w:space="0"/>
          <w:left w:val="none" w:color="000000" w:sz="4" w:space="0"/>
          <w:bottom w:val="none" w:color="000000" w:sz="4" w:space="0"/>
          <w:right w:val="none" w:color="000000" w:sz="4" w:space="0"/>
          <w:between w:val="none" w:color="000000" w:sz="4" w:space="0"/>
        </w:pBdr>
        <w:spacing/>
        <w:ind/>
        <w:jc w:val="both"/>
        <w:rPr/>
      </w:pPr>
      <w:r>
        <w:rPr>
          <w:color w:val="000000"/>
        </w:rPr>
        <w:t xml:space="preserve">Présentation des projets lauréats dans le cadre d’événements professionnels</w:t>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pacing/>
        <w:ind/>
        <w:jc w:val="both"/>
        <w:rPr/>
      </w:pPr>
      <w:r/>
      <w:r/>
    </w:p>
    <w:p>
      <w:pPr>
        <w:pBdr/>
        <w:shd w:val="clear" w:color="auto" w:fill="c1e4f5"/>
        <w:spacing/>
        <w:ind/>
        <w:rPr>
          <w:b/>
        </w:rPr>
      </w:pPr>
      <w:r>
        <w:rPr>
          <w:b/>
        </w:rPr>
        <w:t xml:space="preserve">CANDIDATURE</w:t>
      </w:r>
      <w:r>
        <w:rPr>
          <w:b/>
        </w:rPr>
      </w:r>
      <w:r>
        <w:rPr>
          <w:b/>
        </w:rPr>
      </w:r>
    </w:p>
    <w:p>
      <w:pPr>
        <w:pBdr/>
        <w:spacing/>
        <w:ind/>
        <w:jc w:val="both"/>
        <w:rPr/>
      </w:pPr>
      <w:r/>
      <w:r/>
    </w:p>
    <w:p>
      <w:pPr>
        <w:pBdr/>
        <w:spacing/>
        <w:ind/>
        <w:jc w:val="both"/>
        <w:rPr>
          <w:u w:val="single"/>
        </w:rPr>
      </w:pPr>
      <w:r>
        <w:rPr>
          <w:u w:val="single"/>
        </w:rPr>
        <w:t xml:space="preserve">Étapes et calendrier : </w:t>
      </w:r>
      <w:r>
        <w:rPr>
          <w:u w:val="single"/>
        </w:rPr>
      </w:r>
      <w:r>
        <w:rPr>
          <w:u w:val="single"/>
        </w:rPr>
      </w:r>
    </w:p>
    <w:p>
      <w:pPr>
        <w:pBdr/>
        <w:spacing/>
        <w:ind/>
        <w:jc w:val="both"/>
        <w:rPr/>
      </w:pPr>
      <w:r>
        <w:t xml:space="preserve">L’appel à projet sera ouvert aux candidatures du 16 juin au 31 juillet 2025. La procédure de candidature suivra les étapes suivantes :</w:t>
      </w:r>
      <w:r/>
    </w:p>
    <w:p>
      <w:pPr>
        <w:pBdr/>
        <w:spacing/>
        <w:ind/>
        <w:jc w:val="both"/>
        <w:rPr/>
      </w:pPr>
      <w: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ind/>
        <w:jc w:val="both"/>
        <w:rPr/>
      </w:pPr>
      <w:r>
        <w:rPr>
          <w:b/>
          <w:bCs/>
        </w:rPr>
        <w:t xml:space="preserve">1</w:t>
      </w:r>
      <w:r>
        <w:rPr>
          <w:b/>
          <w:bCs/>
        </w:rPr>
        <w:t xml:space="preserve">6</w:t>
      </w:r>
      <w:r>
        <w:rPr>
          <w:b/>
          <w:bCs/>
        </w:rPr>
        <w:t xml:space="preserve"> juin au 31 juillet </w:t>
      </w:r>
      <w:r>
        <w:rPr>
          <w:b/>
          <w:bCs/>
          <w:color w:val="000000"/>
        </w:rPr>
        <w:t xml:space="preserve">:</w:t>
      </w:r>
      <w:r>
        <w:rPr>
          <w:color w:val="000000"/>
        </w:rPr>
        <w:t xml:space="preserve"> Les </w:t>
      </w:r>
      <w:r>
        <w:rPr>
          <w:color w:val="000000"/>
        </w:rPr>
        <w:t xml:space="preserve">porteur·euses</w:t>
      </w:r>
      <w:r>
        <w:rPr>
          <w:color w:val="000000"/>
        </w:rPr>
        <w:t xml:space="preserve"> de projet candidatent aux Tremplins sous forme libre ou en répondant à un modèle de formulaire</w:t>
      </w:r>
      <w:r>
        <w:t xml:space="preserve">. Le modèle de budget est quant à lui obligatoirement complété et sous la forme transmise et téléchargeable </w:t>
      </w:r>
      <w:hyperlink r:id="rId13" w:tooltip="https://nuage.arviva.org/index.php/s/4ySGFsrYpXFdzWC" w:history="1">
        <w:r>
          <w:rPr>
            <w:rStyle w:val="995"/>
          </w:rPr>
          <w:t xml:space="preserve">ICI</w:t>
        </w:r>
      </w:hyperlink>
      <w:r>
        <w:t xml:space="preserve">. </w:t>
      </w:r>
      <w:r/>
    </w:p>
    <w:p>
      <w:pPr>
        <w:pStyle w:val="979"/>
        <w:numPr>
          <w:ilvl w:val="0"/>
          <w:numId w:val="16"/>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Objectif : faciliter l’accès aux candidatures sans obligation de remplir un formulaire </w:t>
      </w:r>
      <w:r>
        <w:rPr>
          <w:color w:val="000000"/>
        </w:rPr>
        <w:t xml:space="preserve">pré-défini</w:t>
      </w:r>
      <w:r>
        <w:rPr>
          <w:color w:val="000000"/>
        </w:rPr>
        <w:t xml:space="preserve"> et permettre une certaine flexibilité concernant le temps de travail investi dans la candidature tout en proposant des lignes directrices. </w:t>
      </w:r>
      <w:r>
        <w:rPr>
          <w:color w:val="000000"/>
        </w:rPr>
      </w:r>
      <w:r>
        <w:rPr>
          <w:color w:val="000000"/>
        </w:rPr>
      </w:r>
    </w:p>
    <w:p>
      <w:pPr>
        <w:pStyle w:val="979"/>
        <w:numPr>
          <w:ilvl w:val="0"/>
          <w:numId w:val="16"/>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commentRangeStart w:id="0"/>
      <w:r/>
      <w:commentRangeStart w:id="1"/>
      <w:r>
        <w:rPr>
          <w:color w:val="000000"/>
        </w:rPr>
        <w:t xml:space="preserve">Chaque</w:t>
      </w:r>
      <w:commentRangeEnd w:id="0"/>
      <w:r>
        <w:commentReference w:id="0"/>
      </w:r>
      <w:r>
        <w:rPr>
          <w:color w:val="000000"/>
        </w:rPr>
        <w:t xml:space="preserve"> structure qui candidate </w:t>
      </w:r>
      <w:r>
        <w:rPr>
          <w:color w:val="000000"/>
        </w:rPr>
        <w:t xml:space="preserve">a</w:t>
      </w:r>
      <w:r>
        <w:rPr>
          <w:color w:val="000000"/>
        </w:rPr>
        <w:t xml:space="preserve"> accès à un tableau récapitulatif des autres </w:t>
      </w:r>
      <w:r>
        <w:rPr>
          <w:color w:val="000000"/>
        </w:rPr>
        <w:t xml:space="preserve">projets</w:t>
      </w:r>
      <w:r>
        <w:rPr>
          <w:color w:val="000000"/>
        </w:rPr>
        <w:t xml:space="preserve"> avec leurs contacts et leurs localisations</w:t>
      </w:r>
      <w:r>
        <w:rPr>
          <w:color w:val="000000"/>
        </w:rPr>
        <w:t xml:space="preserve"> afin de permettre la </w:t>
      </w:r>
      <w:r>
        <w:rPr>
          <w:color w:val="000000"/>
        </w:rPr>
        <w:t xml:space="preserve">mise en réseau des projets candidats entre eux.</w:t>
      </w:r>
      <w:commentRangeEnd w:id="1"/>
      <w:r>
        <w:commentReference w:id="1"/>
      </w:r>
      <w:r>
        <w:rPr>
          <w:color w:val="000000"/>
        </w:rPr>
        <w:t xml:space="preserve"> L’association de deux </w:t>
      </w:r>
      <w:r>
        <w:rPr>
          <w:color w:val="000000"/>
        </w:rPr>
        <w:t xml:space="preserve">porteur·euses</w:t>
      </w:r>
      <w:r>
        <w:rPr>
          <w:color w:val="000000"/>
        </w:rPr>
        <w:t xml:space="preserve"> de projet après avoir pris connaissance l’</w:t>
      </w:r>
      <w:r>
        <w:rPr>
          <w:color w:val="000000"/>
        </w:rPr>
        <w:t xml:space="preserve">un·e</w:t>
      </w:r>
      <w:r>
        <w:rPr>
          <w:color w:val="000000"/>
        </w:rPr>
        <w:t xml:space="preserve"> de l’autre est la seule façon de pouvoir modifier sa candidature après son envoi à ARVIVA. </w:t>
      </w:r>
      <w:r>
        <w:rPr>
          <w:color w:val="000000"/>
        </w:rPr>
      </w:r>
      <w:r>
        <w:rPr>
          <w:color w:val="000000"/>
        </w:rPr>
      </w:r>
    </w:p>
    <w:p>
      <w:pPr>
        <w:pStyle w:val="979"/>
        <w:numPr>
          <w:ilvl w:val="0"/>
          <w:numId w:val="16"/>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Des webinaires de présentation auront lieu : </w:t>
      </w:r>
      <w:r>
        <w:rPr>
          <w:color w:val="000000"/>
        </w:rPr>
      </w:r>
      <w:r>
        <w:rPr>
          <w:color w:val="000000"/>
        </w:rPr>
      </w:r>
    </w:p>
    <w:p>
      <w:pPr>
        <w:pStyle w:val="979"/>
        <w:numPr>
          <w:ilvl w:val="0"/>
          <w:numId w:val="25"/>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le 23 juin à 16h00, en ligne : </w:t>
      </w:r>
      <w:r>
        <w:rPr>
          <w:rFonts w:ascii="Arial" w:hAnsi="Arial" w:eastAsia="Arial" w:cs="Arial"/>
          <w:color w:val="000000"/>
          <w:sz w:val="24"/>
          <w:highlight w:val="none"/>
        </w:rPr>
      </w:r>
      <w:hyperlink r:id="rId14" w:tooltip="https://us06web.zoom.us/j/82436328677" w:history="1">
        <w:r>
          <w:rPr>
            <w:rStyle w:val="995"/>
            <w:rFonts w:ascii="Arial" w:hAnsi="Arial" w:eastAsia="Arial" w:cs="Arial"/>
            <w:sz w:val="24"/>
            <w:highlight w:val="none"/>
          </w:rPr>
          <w:t xml:space="preserve">https://us06web.zoom.us/j/82436328677</w:t>
        </w:r>
      </w:hyperlink>
      <w:r>
        <w:rPr>
          <w:rFonts w:ascii="Arial" w:hAnsi="Arial" w:eastAsia="Arial" w:cs="Arial"/>
          <w:color w:val="000000"/>
          <w:sz w:val="24"/>
          <w:highlight w:val="none"/>
        </w:rPr>
        <w:t xml:space="preserve">  </w:t>
      </w:r>
      <w:r>
        <w:rPr>
          <w:color w:val="000000"/>
        </w:rPr>
      </w:r>
    </w:p>
    <w:p>
      <w:pPr>
        <w:pStyle w:val="979"/>
        <w:numPr>
          <w:ilvl w:val="0"/>
          <w:numId w:val="24"/>
        </w:num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t xml:space="preserve">le 7 juillet à 14h00, en ligne : </w:t>
      </w:r>
      <w:r>
        <w:rPr>
          <w:rFonts w:ascii="Arial" w:hAnsi="Arial" w:eastAsia="Arial" w:cs="Arial"/>
          <w:color w:val="000000"/>
          <w:sz w:val="24"/>
          <w:highlight w:val="none"/>
        </w:rPr>
      </w:r>
      <w:hyperlink r:id="rId15" w:tooltip="https://us06web.zoom.us/j/84917012476" w:history="1">
        <w:r>
          <w:rPr>
            <w:rStyle w:val="995"/>
            <w:rFonts w:ascii="Arial" w:hAnsi="Arial" w:eastAsia="Arial" w:cs="Arial"/>
            <w:sz w:val="24"/>
            <w:highlight w:val="none"/>
          </w:rPr>
          <w:t xml:space="preserve">https://us06web.zoom.us/j/84917012476</w:t>
        </w:r>
        <w:r>
          <w:rPr>
            <w:rStyle w:val="995"/>
            <w:rFonts w:ascii="Arial" w:hAnsi="Arial" w:eastAsia="Arial" w:cs="Arial"/>
            <w:sz w:val="24"/>
            <w:highlight w:val="none"/>
          </w:rPr>
        </w:r>
      </w:hyperlink>
      <w:r>
        <w:rPr>
          <w:rFonts w:ascii="Arial" w:hAnsi="Arial" w:eastAsia="Arial" w:cs="Arial"/>
          <w:color w:val="000000"/>
          <w:sz w:val="24"/>
          <w:highlight w:val="none"/>
        </w:rPr>
        <w:t xml:space="preserve"> </w:t>
      </w:r>
      <w:r>
        <w:rPr>
          <w:color w:val="000000"/>
        </w:rPr>
      </w:r>
    </w:p>
    <w:p>
      <w:pPr>
        <w:pBdr>
          <w:top w:val="none" w:color="000000" w:sz="4" w:space="0"/>
          <w:left w:val="none" w:color="000000" w:sz="4" w:space="0"/>
          <w:bottom w:val="none" w:color="000000" w:sz="4" w:space="0"/>
          <w:right w:val="none" w:color="000000" w:sz="4" w:space="0"/>
          <w:between w:val="none" w:color="000000" w:sz="4" w:space="0"/>
        </w:pBdr>
        <w:spacing/>
        <w:ind/>
        <w:jc w:val="both"/>
        <w:rPr/>
      </w:pPr>
      <w:r/>
      <w:r/>
    </w:p>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rPr>
      </w:pPr>
      <w:r>
        <w:rPr>
          <w:color w:val="000000"/>
        </w:rPr>
      </w:r>
      <w:r>
        <w:rPr>
          <w:color w:val="000000"/>
        </w:rPr>
      </w:r>
      <w:r>
        <w:rPr>
          <w:color w:val="000000"/>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ind/>
        <w:jc w:val="both"/>
        <w:rPr/>
      </w:pPr>
      <w:r>
        <w:rPr>
          <w:b/>
          <w:bCs/>
        </w:rPr>
        <w:t xml:space="preserve">1er Août au 10 Août </w:t>
      </w:r>
      <w:r>
        <w:rPr>
          <w:b/>
          <w:bCs/>
          <w:color w:val="000000"/>
        </w:rPr>
        <w:t xml:space="preserve">:</w:t>
      </w:r>
      <w:r>
        <w:rPr>
          <w:color w:val="000000"/>
        </w:rPr>
        <w:t xml:space="preserve"> Les dossiers finalistes sont sélectionnés et contactés. </w:t>
      </w:r>
      <w:r/>
    </w:p>
    <w:p>
      <w:pPr>
        <w:pBdr>
          <w:top w:val="none" w:color="000000" w:sz="4" w:space="0"/>
          <w:left w:val="none" w:color="000000" w:sz="4" w:space="0"/>
          <w:bottom w:val="none" w:color="000000" w:sz="4" w:space="0"/>
          <w:right w:val="none" w:color="000000" w:sz="4" w:space="0"/>
          <w:between w:val="none" w:color="000000" w:sz="4" w:space="0"/>
        </w:pBdr>
        <w:spacing/>
        <w:ind w:left="720"/>
        <w:jc w:val="both"/>
        <w:rPr/>
      </w:pPr>
      <w: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ind/>
        <w:jc w:val="both"/>
        <w:rPr/>
      </w:pPr>
      <w:r>
        <w:rPr>
          <w:b/>
          <w:bCs/>
        </w:rPr>
        <w:t xml:space="preserve">2 septembre, 16 septembre et 6 octobre 2025 :</w:t>
      </w:r>
      <w:r>
        <w:rPr>
          <w:color w:val="000000"/>
        </w:rPr>
        <w:t xml:space="preserve"> </w:t>
      </w:r>
      <w:r>
        <w:t xml:space="preserve"> Créneaux de présentation des projets finalistes au réseau des </w:t>
      </w:r>
      <w:r>
        <w:t xml:space="preserve">adhérent·es</w:t>
      </w:r>
      <w:r>
        <w:t xml:space="preserve"> d’ARVIVA</w:t>
      </w:r>
      <w:r/>
    </w:p>
    <w:p>
      <w:pPr>
        <w:pBdr>
          <w:top w:val="none" w:color="000000" w:sz="4" w:space="0"/>
          <w:left w:val="none" w:color="000000" w:sz="4" w:space="0"/>
          <w:bottom w:val="none" w:color="000000" w:sz="4" w:space="0"/>
          <w:right w:val="none" w:color="000000" w:sz="4" w:space="0"/>
          <w:between w:val="none" w:color="000000" w:sz="4" w:space="0"/>
        </w:pBdr>
        <w:spacing/>
        <w:ind w:left="720"/>
        <w:jc w:val="both"/>
        <w:rPr/>
      </w:pPr>
      <w: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ind/>
        <w:jc w:val="both"/>
        <w:rPr/>
      </w:pPr>
      <w:r>
        <w:rPr>
          <w:b/>
          <w:bCs/>
        </w:rPr>
        <w:t xml:space="preserve">14 octobre 2025 </w:t>
      </w:r>
      <w:r>
        <w:t xml:space="preserve">: Demi-journée d’étude sur la thématique de l’évaluation des projets dans le secteur culturel et délibération.</w:t>
      </w:r>
      <w:r/>
    </w:p>
    <w:p>
      <w:pPr>
        <w:pStyle w:val="979"/>
        <w:pBdr/>
        <w:spacing/>
        <w:ind/>
        <w:rPr/>
      </w:pPr>
      <w: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ind/>
        <w:jc w:val="both"/>
        <w:rPr/>
      </w:pPr>
      <w:r>
        <w:rPr>
          <w:b/>
          <w:bCs/>
        </w:rPr>
        <w:t xml:space="preserve">Début novembre :</w:t>
      </w:r>
      <w:r>
        <w:t xml:space="preserve"> Annonce des projets lauréats des Tremplins ARVIVA 2024.</w:t>
      </w:r>
      <w:r/>
    </w:p>
    <w:p>
      <w:pPr>
        <w:pBdr>
          <w:top w:val="none" w:color="000000" w:sz="4" w:space="0"/>
          <w:left w:val="none" w:color="000000" w:sz="4" w:space="0"/>
          <w:bottom w:val="none" w:color="000000" w:sz="4" w:space="0"/>
          <w:right w:val="none" w:color="000000" w:sz="4" w:space="0"/>
          <w:between w:val="none" w:color="000000" w:sz="4" w:space="0"/>
        </w:pBdr>
        <w:spacing/>
        <w:ind w:left="720"/>
        <w:jc w:val="both"/>
        <w:rPr/>
      </w:pPr>
      <w:r/>
      <w:r/>
    </w:p>
    <w:p>
      <w:pPr>
        <w:numPr>
          <w:ilvl w:val="0"/>
          <w:numId w:val="1"/>
        </w:numPr>
        <w:pBdr>
          <w:top w:val="none" w:color="000000" w:sz="4" w:space="0"/>
          <w:left w:val="none" w:color="000000" w:sz="4" w:space="0"/>
          <w:bottom w:val="none" w:color="000000" w:sz="4" w:space="0"/>
          <w:right w:val="none" w:color="000000" w:sz="4" w:space="0"/>
          <w:between w:val="none" w:color="000000" w:sz="4" w:space="0"/>
        </w:pBdr>
        <w:spacing/>
        <w:ind/>
        <w:jc w:val="both"/>
        <w:rPr/>
      </w:pPr>
      <w:r>
        <w:rPr>
          <w:b/>
          <w:bCs/>
        </w:rPr>
        <w:t xml:space="preserve">27 novembre 2025 </w:t>
      </w:r>
      <w:r>
        <w:t xml:space="preserve">: Remise des prix Tremplins ARVIVA 2025 à l’occasion des Rencontras annuelles pour l’écologie dans le spectacle vivant.  </w:t>
      </w:r>
      <w:r/>
    </w:p>
    <w:p>
      <w:pPr>
        <w:pBdr/>
        <w:spacing/>
        <w:ind/>
        <w:jc w:val="both"/>
        <w:rPr/>
      </w:pPr>
      <w:r/>
      <w:r/>
    </w:p>
    <w:p>
      <w:pPr>
        <w:pBdr/>
        <w:spacing/>
        <w:ind/>
        <w:jc w:val="both"/>
        <w:rPr>
          <w:u w:val="single"/>
        </w:rPr>
      </w:pPr>
      <w:r>
        <w:rPr>
          <w:u w:val="single"/>
        </w:rPr>
        <w:t xml:space="preserve">Dossier de candidature :</w:t>
      </w:r>
      <w:r>
        <w:rPr>
          <w:u w:val="single"/>
        </w:rPr>
      </w:r>
      <w:r>
        <w:rPr>
          <w:u w:val="single"/>
        </w:rPr>
      </w:r>
    </w:p>
    <w:p>
      <w:pPr>
        <w:pBdr/>
        <w:spacing/>
        <w:ind/>
        <w:jc w:val="both"/>
        <w:rPr/>
      </w:pPr>
      <w:r/>
      <w:r/>
    </w:p>
    <w:p>
      <w:pPr>
        <w:pStyle w:val="979"/>
        <w:numPr>
          <w:ilvl w:val="0"/>
          <w:numId w:val="13"/>
        </w:numPr>
        <w:pBdr/>
        <w:spacing/>
        <w:ind/>
        <w:jc w:val="both"/>
        <w:rPr/>
      </w:pPr>
      <w:r>
        <w:t xml:space="preserve">Le dossier de candidature est constitué : </w:t>
      </w:r>
      <w:r/>
    </w:p>
    <w:p>
      <w:pPr>
        <w:pStyle w:val="979"/>
        <w:numPr>
          <w:ilvl w:val="0"/>
          <w:numId w:val="22"/>
        </w:numPr>
        <w:pBdr/>
        <w:spacing/>
        <w:ind/>
        <w:jc w:val="both"/>
        <w:rPr/>
      </w:pPr>
      <w:r>
        <w:t xml:space="preserve">D’une présentation du projet par les </w:t>
      </w:r>
      <w:r>
        <w:t xml:space="preserve">porteur·euses</w:t>
      </w:r>
      <w:r>
        <w:t xml:space="preserve"> : Un formulaire type de présentation du projet ou un  format libre (pas plus de </w:t>
      </w:r>
      <w:r>
        <w:t xml:space="preserve">5 </w:t>
      </w:r>
      <w:r>
        <w:t xml:space="preserve">pages pour un format écrit et de 5 minutes pour un format vidéo/audio)</w:t>
      </w:r>
      <w:r>
        <w:br/>
        <w:t xml:space="preserve">Tout doit être transmis via ce formulaire : </w:t>
      </w:r>
      <w:r>
        <w:tab/>
        <w:br/>
        <w:t xml:space="preserve"> </w:t>
      </w:r>
      <w:hyperlink r:id="rId16" w:tooltip="https://framaforms.org/tremplins-arviva-2025-formulaire-de-candidature-1749656338" w:history="1">
        <w:r>
          <w:rPr>
            <w:rStyle w:val="995"/>
          </w:rPr>
          <w:t xml:space="preserve">https://framaforms.org/tremplins-arviva-2025-formulaire-de-candidature-1749656338</w:t>
        </w:r>
      </w:hyperlink>
      <w:r>
        <w:t xml:space="preserve"> </w:t>
      </w:r>
      <w:r/>
    </w:p>
    <w:p>
      <w:pPr>
        <w:pStyle w:val="979"/>
        <w:numPr>
          <w:ilvl w:val="0"/>
          <w:numId w:val="22"/>
        </w:numPr>
        <w:pBdr/>
        <w:spacing/>
        <w:ind/>
        <w:jc w:val="both"/>
        <w:rPr/>
      </w:pPr>
      <w:r>
        <w:t xml:space="preserve">D’un budget prévisionnel de l’action selon ce modèle : </w:t>
      </w:r>
      <w:hyperlink r:id="rId17" w:tooltip="https://nuage.arviva.org/index.php/s/4ySGFsrYpXFdzWC" w:history="1">
        <w:r>
          <w:rPr>
            <w:rStyle w:val="995"/>
          </w:rPr>
          <w:t xml:space="preserve">https://nuage.arviva.org/index.php/s/4ySGFsrYpXFdzWC</w:t>
        </w:r>
      </w:hyperlink>
      <w:r>
        <w:t xml:space="preserve"> </w:t>
      </w:r>
      <w:r/>
    </w:p>
    <w:p>
      <w:pPr>
        <w:pStyle w:val="979"/>
        <w:numPr>
          <w:ilvl w:val="0"/>
          <w:numId w:val="22"/>
        </w:numPr>
        <w:pBdr/>
        <w:spacing/>
        <w:ind/>
        <w:jc w:val="both"/>
        <w:rPr/>
      </w:pPr>
      <w:r>
        <w:t xml:space="preserve">D’un récépissé de déclaration en préfecture ou KBIS de la structure porteuse du projet </w:t>
      </w:r>
      <w:r/>
    </w:p>
    <w:p>
      <w:pPr>
        <w:pBdr/>
        <w:spacing/>
        <w:ind/>
        <w:jc w:val="both"/>
        <w:rPr>
          <w:i/>
          <w:iCs/>
        </w:rPr>
      </w:pPr>
      <w:r>
        <w:rPr>
          <w:i/>
          <w:iCs/>
        </w:rPr>
      </w:r>
      <w:r>
        <w:rPr>
          <w:i/>
          <w:iCs/>
        </w:rPr>
      </w:r>
      <w:r>
        <w:rPr>
          <w:i/>
          <w:iCs/>
        </w:rPr>
      </w:r>
    </w:p>
    <w:p>
      <w:pPr>
        <w:pBdr/>
        <w:spacing/>
        <w:ind/>
        <w:jc w:val="both"/>
        <w:rPr>
          <w:i/>
          <w:iCs/>
        </w:rPr>
      </w:pPr>
      <w:r>
        <w:rPr>
          <w:i/>
          <w:iCs/>
        </w:rPr>
        <w:t xml:space="preserve">Dans un souci d'accessibilité de la candidature aux Tremplins ARVIVA à </w:t>
      </w:r>
      <w:r>
        <w:rPr>
          <w:i/>
          <w:iCs/>
        </w:rPr>
        <w:t xml:space="preserve">toustes</w:t>
      </w:r>
      <w:r>
        <w:rPr>
          <w:i/>
          <w:iCs/>
        </w:rPr>
        <w:t xml:space="preserve"> les </w:t>
      </w:r>
      <w:r>
        <w:rPr>
          <w:i/>
          <w:iCs/>
        </w:rPr>
        <w:t xml:space="preserve">porteur·euse·s</w:t>
      </w:r>
      <w:r>
        <w:rPr>
          <w:i/>
          <w:iCs/>
        </w:rPr>
        <w:t xml:space="preserve"> de projet, ARVIVA tient à préciser que la qualité de l'écrit n'est pas un critère de sélection des candidatures. Par ailleurs, il est possible de transmettre une transcription d'une vidéo ou d'un audio répondant aux questions du formulaire.</w:t>
      </w:r>
      <w:r>
        <w:rPr>
          <w:i/>
          <w:iCs/>
        </w:rPr>
      </w:r>
      <w:r>
        <w:rPr>
          <w:i/>
          <w:iCs/>
        </w:rPr>
      </w:r>
    </w:p>
    <w:p>
      <w:pPr>
        <w:pBdr/>
        <w:spacing/>
        <w:ind/>
        <w:jc w:val="both"/>
        <w:rPr>
          <w:i/>
          <w:iCs/>
        </w:rPr>
      </w:pPr>
      <w:r>
        <w:rPr>
          <w:i/>
          <w:iCs/>
        </w:rPr>
      </w:r>
      <w:r>
        <w:rPr>
          <w:i/>
          <w:iCs/>
        </w:rPr>
      </w:r>
      <w:r>
        <w:rPr>
          <w:i/>
          <w:iCs/>
        </w:rPr>
      </w:r>
    </w:p>
    <w:p>
      <w:pPr>
        <w:pBdr/>
        <w:spacing/>
        <w:ind/>
        <w:jc w:val="both"/>
        <w:rPr/>
      </w:pPr>
      <w:r/>
      <w:r/>
    </w:p>
    <w:p>
      <w:pPr>
        <w:pBdr/>
        <w:shd w:val="clear" w:color="auto" w:fill="c1e4f5"/>
        <w:spacing/>
        <w:ind/>
        <w:rPr>
          <w:b/>
        </w:rPr>
      </w:pPr>
      <w:r>
        <w:rPr>
          <w:b/>
        </w:rPr>
        <w:t xml:space="preserve">COMMUNICATION</w:t>
      </w:r>
      <w:r>
        <w:rPr>
          <w:b/>
        </w:rPr>
      </w:r>
      <w:r>
        <w:rPr>
          <w:b/>
        </w:rPr>
      </w:r>
    </w:p>
    <w:p>
      <w:pPr>
        <w:pBdr/>
        <w:spacing/>
        <w:ind/>
        <w:jc w:val="both"/>
        <w:rPr/>
      </w:pPr>
      <w:r/>
      <w:r/>
    </w:p>
    <w:p>
      <w:pPr>
        <w:pBdr/>
        <w:spacing/>
        <w:ind/>
        <w:jc w:val="both"/>
        <w:rPr/>
      </w:pPr>
      <w:r>
        <w:t xml:space="preserve">Les </w:t>
      </w:r>
      <w:r>
        <w:t xml:space="preserve">lauréat·e·s</w:t>
      </w:r>
      <w:r>
        <w:t xml:space="preserve"> s’engagent à ce que les documents d’information et de promotion relatifs à l’action réalisées avec le soutien financier des Tremplins comportent les indications suivantes : « avec le soutien d'ARVIVA – Arts Vivants, Arts Durables ».</w:t>
      </w:r>
      <w:r/>
    </w:p>
    <w:p>
      <w:pPr>
        <w:pBdr/>
        <w:spacing/>
        <w:ind/>
        <w:jc w:val="both"/>
        <w:rPr/>
      </w:pPr>
      <w:r/>
      <w:r/>
    </w:p>
    <w:p>
      <w:pPr>
        <w:pBdr/>
        <w:spacing/>
        <w:ind/>
        <w:jc w:val="both"/>
        <w:rPr/>
      </w:pPr>
      <w:r>
        <w:t xml:space="preserve">Les lauréat-e-s sont autorisés à communiquer sur leur prix, pour autant que la communication et l’utilisation qui en est faite ne dépasse pas le cadre de l’action pour laquelle ils ont été récompensés. Le logo de l’association sera mis à disposition des </w:t>
      </w:r>
      <w:r>
        <w:t xml:space="preserve">lauréat·es</w:t>
      </w:r>
      <w:r>
        <w:t xml:space="preserve">.</w:t>
      </w:r>
      <w:r/>
    </w:p>
    <w:p>
      <w:pPr>
        <w:pBdr/>
        <w:spacing/>
        <w:ind/>
        <w:jc w:val="both"/>
        <w:rPr/>
      </w:pPr>
      <w:r/>
      <w:r/>
    </w:p>
    <w:p>
      <w:pPr>
        <w:pBdr/>
        <w:spacing/>
        <w:ind/>
        <w:jc w:val="both"/>
        <w:rPr/>
      </w:pPr>
      <w:r>
        <w:t xml:space="preserve">Les structures candidates autorisent expressément l’association ARVIVA – Arts Vivants, Arts Durables et ses partenaires à publier l</w:t>
      </w:r>
      <w:r>
        <w:t xml:space="preserve">eur candidature, la présentation synthétique de leur projet transmis à l’association ARVIVA – Arts Vivants, Arts Durables, dans le cadre des actions d’information, d’accompagnement et de communication liées aux Tremplins y compris sur leurs sites internet.</w:t>
      </w:r>
      <w:r/>
    </w:p>
    <w:p>
      <w:pPr>
        <w:pBdr/>
        <w:spacing/>
        <w:ind/>
        <w:jc w:val="both"/>
        <w:rPr/>
      </w:pPr>
      <w:r/>
      <w:r/>
    </w:p>
    <w:sectPr>
      <w:headerReference w:type="default" r:id="rId9"/>
      <w:footnotePr/>
      <w:endnotePr/>
      <w:type w:val="nextPage"/>
      <w:pgSz w:h="16838" w:orient="portrait" w:w="11906"/>
      <w:pgMar w:top="1417" w:right="1417" w:bottom="1417" w:left="1417" w:header="708" w:footer="708" w:gutter="0"/>
      <w:pgNumType w:start="1"/>
      <w:cols w:num="1" w:sep="0" w:space="720"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ARVIVA" w:date="2025-06-12T17:34:00Z" w:initials="AA">
    <w:p w14:paraId="00000001" w14:textId="00000001">
      <w:pPr>
        <w:spacing w:line="240" w:after="0" w:lineRule="auto" w:before="0"/>
        <w:ind w:firstLine="0" w:left="0" w:right="0"/>
        <w:jc w:val="left"/>
      </w:pPr>
      <w:r>
        <w:rPr>
          <w:rFonts w:eastAsia="Arial" w:ascii="Arial" w:hAnsi="Arial" w:cs="Arial"/>
          <w:sz w:val="22"/>
        </w:rPr>
        <w:t xml:space="preserve">est-ce maintenu ?</w:t>
      </w:r>
    </w:p>
  </w:comment>
  <w:comment w:id="0" w:author="Admin ARVIVA" w:date="2025-06-12T17:35:00Z" w:initials="AA">
    <w:p w14:paraId="00000002" w14:textId="00000002">
      <w:pPr>
        <w:spacing w:line="240" w:after="0" w:lineRule="auto" w:before="0"/>
        <w:ind w:firstLine="0" w:left="0" w:right="0"/>
        <w:jc w:val="left"/>
      </w:pPr>
      <w:r>
        <w:rPr>
          <w:rFonts w:eastAsia="Arial" w:ascii="Arial" w:hAnsi="Arial" w:cs="Arial"/>
          <w:sz w:val="22"/>
        </w:rPr>
        <w:t xml:space="preserve">j'aurais ajouté que le projet sera rendu public à l'ensemble du réseau, et qu'il est important de mentionner si des choses sont confidentielles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6FC4AC5" w16cex:dateUtc="2025-06-12T15:34:00Z"/>
  <w16cex:commentExtensible w16cex:durableId="72842AA9" w16cex:dateUtc="2025-06-12T15:35: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6FC4AC5"/>
  <w16cid:commentId w16cid:paraId="00000002" w16cid:durableId="72842A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noto sans symbols">
    <w:panose1 w:val="020B0603030804020204"/>
  </w:font>
  <w:font w:name="Courier New">
    <w:panose1 w:val="02070309020205020404"/>
  </w:font>
  <w:font w:name="Wingdings">
    <w:panose1 w:val="05010000000000000000"/>
  </w:font>
  <w:font w:name="Times New Roman">
    <w:panose1 w:val="02020603050405020304"/>
  </w:font>
  <w:font w:name="Montserrat">
    <w:panose1 w:val="020B0603030804020204"/>
  </w:font>
  <w:font w:name="Arial">
    <w:panose1 w:val="020B0604020202020204"/>
  </w:font>
  <w:font w:name="Aptos">
    <w:panose1 w:val="020B0603030804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Bdr>
          <w:top w:val="none" w:color="000000" w:sz="4" w:space="0"/>
          <w:left w:val="none" w:color="000000" w:sz="4" w:space="0"/>
          <w:bottom w:val="none" w:color="000000" w:sz="4" w:space="0"/>
          <w:right w:val="none" w:color="000000" w:sz="4" w:space="0"/>
          <w:between w:val="none" w:color="000000" w:sz="4" w:space="0"/>
        </w:pBdr>
        <w:spacing/>
        <w:ind/>
        <w:jc w:val="both"/>
        <w:rPr>
          <w:color w:val="000000"/>
          <w:sz w:val="20"/>
          <w:szCs w:val="20"/>
        </w:rPr>
      </w:pPr>
      <w:r>
        <w:rPr>
          <w:vertAlign w:val="superscript"/>
        </w:rPr>
        <w:footnoteRef/>
      </w:r>
      <w:r>
        <w:rPr>
          <w:color w:val="000000"/>
          <w:sz w:val="20"/>
          <w:szCs w:val="20"/>
        </w:rPr>
        <w:t xml:space="preserve"> </w:t>
      </w:r>
      <w:r>
        <w:rPr>
          <w:sz w:val="20"/>
          <w:szCs w:val="20"/>
        </w:rPr>
        <w:t xml:space="preserve">Lettre d’engagement, contrat, convention…</w:t>
      </w:r>
      <w:r>
        <w:rPr>
          <w:color w:val="000000"/>
          <w:sz w:val="20"/>
          <w:szCs w:val="20"/>
        </w:rPr>
      </w:r>
      <w:r>
        <w:rPr>
          <w:color w:val="000000"/>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1"/>
      <w:pBdr/>
      <w:tabs>
        <w:tab w:val="left" w:leader="none" w:pos="1474"/>
        <w:tab w:val="clear" w:leader="none" w:pos="4536"/>
        <w:tab w:val="clear" w:leader="none" w:pos="9072"/>
      </w:tabs>
      <w:spacing/>
      <w:ind/>
      <w:jc w:val="center"/>
      <w:rPr/>
    </w:pPr>
    <w:r>
      <mc:AlternateContent>
        <mc:Choice Requires="wpg">
          <w:drawing>
            <wp:inline xmlns:wp="http://schemas.openxmlformats.org/drawingml/2006/wordprocessingDrawing" distT="0" distB="0" distL="0" distR="0">
              <wp:extent cx="1578429" cy="699262"/>
              <wp:effectExtent l="0" t="0" r="0" b="0"/>
              <wp:docPr id="1" name="Image 1" descr="Une image contenant Police, texte, typographi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82745" name="Image 1" descr="Une image contenant Police, texte, typographie, ligne&#10;&#10;Description générée automatiquement"/>
                      <pic:cNvPicPr>
                        <a:picLocks noChangeAspect="1"/>
                      </pic:cNvPicPr>
                      <pic:nvPr/>
                    </pic:nvPicPr>
                    <pic:blipFill>
                      <a:blip r:embed="rId1"/>
                      <a:stretch/>
                    </pic:blipFill>
                    <pic:spPr bwMode="auto">
                      <a:xfrm>
                        <a:off x="0" y="0"/>
                        <a:ext cx="1601486" cy="70947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24.29pt;height:55.06pt;mso-wrap-distance-left:0.00pt;mso-wrap-distance-top:0.00pt;mso-wrap-distance-right:0.00pt;mso-wrap-distance-bottom:0.00pt;z-index:1;" stroked="false">
              <v:imagedata r:id="rId1" o:title=""/>
              <o:lock v:ext="edit" rotation="t"/>
            </v:shape>
          </w:pict>
        </mc:Fallback>
      </mc:AlternateContent>
    </w:r>
    <w:r/>
  </w:p>
  <w:p>
    <w:pPr>
      <w:pStyle w:val="991"/>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1">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2">
    <w:lvl w:ilvl="0">
      <w:isLgl w:val="false"/>
      <w:lvlJc w:val="left"/>
      <w:lvlText w:val="%1."/>
      <w:numFmt w:val="decimal"/>
      <w:pPr>
        <w:pBdr/>
        <w:spacing/>
        <w:ind w:hanging="360" w:left="720"/>
      </w:pPr>
      <w:rPr>
        <w:rFonts w:hint="default"/>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spacing/>
        <w:ind w:hanging="360" w:left="720"/>
      </w:pPr>
      <w:rPr>
        <w:rFonts w:hint="default" w:ascii="Wingdings" w:hAnsi="Wingdings" w:eastAsia="Times New Roman" w:cs="Times New Roman"/>
        <w:color w:val="000000"/>
      </w:rPr>
      <w:start w:val="4"/>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
      <w:numFmt w:val="bullet"/>
      <w:pPr>
        <w:pBdr/>
        <w:spacing/>
        <w:ind w:hanging="360" w:left="1429"/>
      </w:pPr>
      <w:rPr>
        <w:rFonts w:hint="default" w:ascii="Arial" w:hAnsi="Arial" w:eastAsia="Arial" w:cs="Arial"/>
      </w:rPr>
      <w:start w:val="1"/>
      <w:suff w:val="tab"/>
    </w:lvl>
    <w:lvl w:ilvl="1">
      <w:isLgl w:val="false"/>
      <w:lvlJc w:val="left"/>
      <w:lvlText w:val="o"/>
      <w:numFmt w:val="bullet"/>
      <w:pPr>
        <w:pBdr/>
        <w:spacing/>
        <w:ind w:hanging="360" w:left="2149"/>
      </w:pPr>
      <w:rPr>
        <w:rFonts w:hint="default" w:ascii="Courier New" w:hAnsi="Courier New" w:eastAsia="Courier New" w:cs="Courier New"/>
      </w:rPr>
      <w:start w:val="1"/>
      <w:suff w:val="tab"/>
    </w:lvl>
    <w:lvl w:ilvl="2">
      <w:isLgl w:val="false"/>
      <w:lvlJc w:val="left"/>
      <w:lvlText w:val="§"/>
      <w:numFmt w:val="bullet"/>
      <w:pPr>
        <w:pBdr/>
        <w:spacing/>
        <w:ind w:hanging="360" w:left="2869"/>
      </w:pPr>
      <w:rPr>
        <w:rFonts w:hint="default" w:ascii="Wingdings" w:hAnsi="Wingdings" w:eastAsia="Wingdings" w:cs="Wingdings"/>
      </w:rPr>
      <w:start w:val="1"/>
      <w:suff w:val="tab"/>
    </w:lvl>
    <w:lvl w:ilvl="3">
      <w:isLgl w:val="false"/>
      <w:lvlJc w:val="left"/>
      <w:lvlText w:val="·"/>
      <w:numFmt w:val="bullet"/>
      <w:pPr>
        <w:pBdr/>
        <w:spacing/>
        <w:ind w:hanging="360" w:left="3589"/>
      </w:pPr>
      <w:rPr>
        <w:rFonts w:hint="default" w:ascii="Symbol" w:hAnsi="Symbol" w:eastAsia="Symbol" w:cs="Symbol"/>
      </w:rPr>
      <w:start w:val="1"/>
      <w:suff w:val="tab"/>
    </w:lvl>
    <w:lvl w:ilvl="4">
      <w:isLgl w:val="false"/>
      <w:lvlJc w:val="left"/>
      <w:lvlText w:val="o"/>
      <w:numFmt w:val="bullet"/>
      <w:pPr>
        <w:pBdr/>
        <w:spacing/>
        <w:ind w:hanging="360" w:left="4309"/>
      </w:pPr>
      <w:rPr>
        <w:rFonts w:hint="default" w:ascii="Courier New" w:hAnsi="Courier New" w:eastAsia="Courier New" w:cs="Courier New"/>
      </w:rPr>
      <w:start w:val="1"/>
      <w:suff w:val="tab"/>
    </w:lvl>
    <w:lvl w:ilvl="5">
      <w:isLgl w:val="false"/>
      <w:lvlJc w:val="left"/>
      <w:lvlText w:val="§"/>
      <w:numFmt w:val="bullet"/>
      <w:pPr>
        <w:pBdr/>
        <w:spacing/>
        <w:ind w:hanging="360" w:left="5029"/>
      </w:pPr>
      <w:rPr>
        <w:rFonts w:hint="default" w:ascii="Wingdings" w:hAnsi="Wingdings" w:eastAsia="Wingdings" w:cs="Wingdings"/>
      </w:rPr>
      <w:start w:val="1"/>
      <w:suff w:val="tab"/>
    </w:lvl>
    <w:lvl w:ilvl="6">
      <w:isLgl w:val="false"/>
      <w:lvlJc w:val="left"/>
      <w:lvlText w:val="·"/>
      <w:numFmt w:val="bullet"/>
      <w:pPr>
        <w:pBdr/>
        <w:spacing/>
        <w:ind w:hanging="360" w:left="5749"/>
      </w:pPr>
      <w:rPr>
        <w:rFonts w:hint="default" w:ascii="Symbol" w:hAnsi="Symbol" w:eastAsia="Symbol" w:cs="Symbol"/>
      </w:rPr>
      <w:start w:val="1"/>
      <w:suff w:val="tab"/>
    </w:lvl>
    <w:lvl w:ilvl="7">
      <w:isLgl w:val="false"/>
      <w:lvlJc w:val="left"/>
      <w:lvlText w:val="o"/>
      <w:numFmt w:val="bullet"/>
      <w:pPr>
        <w:pBdr/>
        <w:spacing/>
        <w:ind w:hanging="360" w:left="6469"/>
      </w:pPr>
      <w:rPr>
        <w:rFonts w:hint="default" w:ascii="Courier New" w:hAnsi="Courier New" w:eastAsia="Courier New" w:cs="Courier New"/>
      </w:rPr>
      <w:start w:val="1"/>
      <w:suff w:val="tab"/>
    </w:lvl>
    <w:lvl w:ilvl="8">
      <w:isLgl w:val="false"/>
      <w:lvlJc w:val="left"/>
      <w:lvlText w:val="§"/>
      <w:numFmt w:val="bullet"/>
      <w:pPr>
        <w:pBdr/>
        <w:spacing/>
        <w:ind w:hanging="360" w:left="7189"/>
      </w:pPr>
      <w:rPr>
        <w:rFonts w:hint="default" w:ascii="Wingdings" w:hAnsi="Wingdings" w:eastAsia="Wingdings" w:cs="Wingdings"/>
      </w:rPr>
      <w:start w:val="1"/>
      <w:suff w:val="tab"/>
    </w:lvl>
  </w:abstractNum>
  <w:abstractNum w:abstractNumId="8">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abstractNum w:abstractNumId="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1">
    <w:lvl w:ilvl="0">
      <w:isLgl w:val="false"/>
      <w:lvlJc w:val="left"/>
      <w:lvlText w:val="-"/>
      <w:numFmt w:val="bullet"/>
      <w:pPr>
        <w:pBdr/>
        <w:spacing/>
        <w:ind w:hanging="360" w:left="720"/>
      </w:pPr>
      <w:rPr>
        <w:rFonts w:ascii="Aptos" w:hAnsi="Aptos" w:eastAsia="Aptos" w:cs="Aptos"/>
      </w:rPr>
      <w:start w:val="0"/>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7">
    <w:lvl w:ilvl="0">
      <w:isLgl w:val="false"/>
      <w:lvlJc w:val="left"/>
      <w:lvlText w:val="·"/>
      <w:numFmt w:val="bullet"/>
      <w:pPr>
        <w:pBdr/>
        <w:spacing/>
        <w:ind w:hanging="360" w:left="1429"/>
      </w:pPr>
      <w:rPr>
        <w:rFonts w:hint="default" w:ascii="Symbol" w:hAnsi="Symbol" w:eastAsia="Symbol" w:cs="Symbol"/>
      </w:rPr>
      <w:start w:val="1"/>
      <w:suff w:val="tab"/>
    </w:lvl>
    <w:lvl w:ilvl="1">
      <w:isLgl w:val="false"/>
      <w:lvlJc w:val="left"/>
      <w:lvlText w:val="o"/>
      <w:numFmt w:val="bullet"/>
      <w:pPr>
        <w:pBdr/>
        <w:spacing/>
        <w:ind w:hanging="360" w:left="2149"/>
      </w:pPr>
      <w:rPr>
        <w:rFonts w:hint="default" w:ascii="Courier New" w:hAnsi="Courier New" w:eastAsia="Courier New" w:cs="Courier New"/>
      </w:rPr>
      <w:start w:val="1"/>
      <w:suff w:val="tab"/>
    </w:lvl>
    <w:lvl w:ilvl="2">
      <w:isLgl w:val="false"/>
      <w:lvlJc w:val="left"/>
      <w:lvlText w:val="§"/>
      <w:numFmt w:val="bullet"/>
      <w:pPr>
        <w:pBdr/>
        <w:spacing/>
        <w:ind w:hanging="360" w:left="2869"/>
      </w:pPr>
      <w:rPr>
        <w:rFonts w:hint="default" w:ascii="Wingdings" w:hAnsi="Wingdings" w:eastAsia="Wingdings" w:cs="Wingdings"/>
      </w:rPr>
      <w:start w:val="1"/>
      <w:suff w:val="tab"/>
    </w:lvl>
    <w:lvl w:ilvl="3">
      <w:isLgl w:val="false"/>
      <w:lvlJc w:val="left"/>
      <w:lvlText w:val="·"/>
      <w:numFmt w:val="bullet"/>
      <w:pPr>
        <w:pBdr/>
        <w:spacing/>
        <w:ind w:hanging="360" w:left="3589"/>
      </w:pPr>
      <w:rPr>
        <w:rFonts w:hint="default" w:ascii="Symbol" w:hAnsi="Symbol" w:eastAsia="Symbol" w:cs="Symbol"/>
      </w:rPr>
      <w:start w:val="1"/>
      <w:suff w:val="tab"/>
    </w:lvl>
    <w:lvl w:ilvl="4">
      <w:isLgl w:val="false"/>
      <w:lvlJc w:val="left"/>
      <w:lvlText w:val="o"/>
      <w:numFmt w:val="bullet"/>
      <w:pPr>
        <w:pBdr/>
        <w:spacing/>
        <w:ind w:hanging="360" w:left="4309"/>
      </w:pPr>
      <w:rPr>
        <w:rFonts w:hint="default" w:ascii="Courier New" w:hAnsi="Courier New" w:eastAsia="Courier New" w:cs="Courier New"/>
      </w:rPr>
      <w:start w:val="1"/>
      <w:suff w:val="tab"/>
    </w:lvl>
    <w:lvl w:ilvl="5">
      <w:isLgl w:val="false"/>
      <w:lvlJc w:val="left"/>
      <w:lvlText w:val="§"/>
      <w:numFmt w:val="bullet"/>
      <w:pPr>
        <w:pBdr/>
        <w:spacing/>
        <w:ind w:hanging="360" w:left="5029"/>
      </w:pPr>
      <w:rPr>
        <w:rFonts w:hint="default" w:ascii="Wingdings" w:hAnsi="Wingdings" w:eastAsia="Wingdings" w:cs="Wingdings"/>
      </w:rPr>
      <w:start w:val="1"/>
      <w:suff w:val="tab"/>
    </w:lvl>
    <w:lvl w:ilvl="6">
      <w:isLgl w:val="false"/>
      <w:lvlJc w:val="left"/>
      <w:lvlText w:val="·"/>
      <w:numFmt w:val="bullet"/>
      <w:pPr>
        <w:pBdr/>
        <w:spacing/>
        <w:ind w:hanging="360" w:left="5749"/>
      </w:pPr>
      <w:rPr>
        <w:rFonts w:hint="default" w:ascii="Symbol" w:hAnsi="Symbol" w:eastAsia="Symbol" w:cs="Symbol"/>
      </w:rPr>
      <w:start w:val="1"/>
      <w:suff w:val="tab"/>
    </w:lvl>
    <w:lvl w:ilvl="7">
      <w:isLgl w:val="false"/>
      <w:lvlJc w:val="left"/>
      <w:lvlText w:val="o"/>
      <w:numFmt w:val="bullet"/>
      <w:pPr>
        <w:pBdr/>
        <w:spacing/>
        <w:ind w:hanging="360" w:left="6469"/>
      </w:pPr>
      <w:rPr>
        <w:rFonts w:hint="default" w:ascii="Courier New" w:hAnsi="Courier New" w:eastAsia="Courier New" w:cs="Courier New"/>
      </w:rPr>
      <w:start w:val="1"/>
      <w:suff w:val="tab"/>
    </w:lvl>
    <w:lvl w:ilvl="8">
      <w:isLgl w:val="false"/>
      <w:lvlJc w:val="left"/>
      <w:lvlText w:val="§"/>
      <w:numFmt w:val="bullet"/>
      <w:pPr>
        <w:pBdr/>
        <w:spacing/>
        <w:ind w:hanging="360" w:left="7189"/>
      </w:pPr>
      <w:rPr>
        <w:rFonts w:hint="default" w:ascii="Wingdings" w:hAnsi="Wingdings" w:eastAsia="Wingdings" w:cs="Wingdings"/>
      </w:rPr>
      <w:start w:val="1"/>
      <w:suff w:val="tab"/>
    </w:lvl>
  </w:abstractNum>
  <w:abstractNum w:abstractNumId="1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9">
    <w:lvl w:ilvl="0">
      <w:isLgl w:val="false"/>
      <w:lvlJc w:val="left"/>
      <w:lvlText w:val="-"/>
      <w:numFmt w:val="bullet"/>
      <w:pPr>
        <w:pBdr/>
        <w:spacing/>
        <w:ind w:hanging="360" w:left="720"/>
      </w:pPr>
      <w:rPr>
        <w:rFonts w:hint="default" w:ascii="Aptos" w:hAnsi="Aptos" w:eastAsiaTheme="minorHAnsi" w:cstheme="minorBidi"/>
      </w:rPr>
      <w:start w:val="6"/>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0">
    <w:lvl w:ilvl="0">
      <w:isLgl w:val="false"/>
      <w:lvlJc w:val="left"/>
      <w:lvlText w:val="-"/>
      <w:numFmt w:val="bullet"/>
      <w:pPr>
        <w:pBdr/>
        <w:spacing/>
        <w:ind w:hanging="360" w:left="720"/>
      </w:pPr>
      <w:rPr>
        <w:rFonts w:hint="default" w:ascii="Aptos" w:hAnsi="Aptos" w:eastAsiaTheme="minorHAnsi" w:cstheme="minorBidi"/>
      </w:rPr>
      <w:start w:val="6"/>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2">
    <w:lvl w:ilvl="0">
      <w:isLgl w:val="false"/>
      <w:lvlJc w:val="left"/>
      <w:lvlText w:val=""/>
      <w:numFmt w:val="bullet"/>
      <w:pPr>
        <w:pBdr/>
        <w:spacing/>
        <w:ind w:hanging="360" w:left="720"/>
      </w:pPr>
      <w:rPr>
        <w:rFonts w:hint="default" w:ascii="Symbol" w:hAnsi="Symbol" w:eastAsia="Montserrat" w:cs="Montserrat"/>
      </w:rPr>
      <w:start w:val="4"/>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3">
    <w:lvl w:ilvl="0">
      <w:isLgl w:val="false"/>
      <w:lvlJc w:val="left"/>
      <w:lvlText w:val="–"/>
      <w:numFmt w:val="bullet"/>
      <w:pPr>
        <w:pBdr/>
        <w:spacing/>
        <w:ind w:hanging="360" w:left="1429"/>
      </w:pPr>
      <w:rPr>
        <w:rFonts w:hint="default" w:ascii="Arial" w:hAnsi="Arial" w:eastAsia="Arial" w:cs="Arial"/>
      </w:rPr>
      <w:start w:val="1"/>
      <w:suff w:val="tab"/>
    </w:lvl>
    <w:lvl w:ilvl="1">
      <w:isLgl w:val="false"/>
      <w:lvlJc w:val="left"/>
      <w:lvlText w:val="o"/>
      <w:numFmt w:val="bullet"/>
      <w:pPr>
        <w:pBdr/>
        <w:spacing/>
        <w:ind w:hanging="360" w:left="2149"/>
      </w:pPr>
      <w:rPr>
        <w:rFonts w:hint="default" w:ascii="Courier New" w:hAnsi="Courier New" w:eastAsia="Courier New" w:cs="Courier New"/>
      </w:rPr>
      <w:start w:val="1"/>
      <w:suff w:val="tab"/>
    </w:lvl>
    <w:lvl w:ilvl="2">
      <w:isLgl w:val="false"/>
      <w:lvlJc w:val="left"/>
      <w:lvlText w:val="§"/>
      <w:numFmt w:val="bullet"/>
      <w:pPr>
        <w:pBdr/>
        <w:spacing/>
        <w:ind w:hanging="360" w:left="2869"/>
      </w:pPr>
      <w:rPr>
        <w:rFonts w:hint="default" w:ascii="Wingdings" w:hAnsi="Wingdings" w:eastAsia="Wingdings" w:cs="Wingdings"/>
      </w:rPr>
      <w:start w:val="1"/>
      <w:suff w:val="tab"/>
    </w:lvl>
    <w:lvl w:ilvl="3">
      <w:isLgl w:val="false"/>
      <w:lvlJc w:val="left"/>
      <w:lvlText w:val="·"/>
      <w:numFmt w:val="bullet"/>
      <w:pPr>
        <w:pBdr/>
        <w:spacing/>
        <w:ind w:hanging="360" w:left="3589"/>
      </w:pPr>
      <w:rPr>
        <w:rFonts w:hint="default" w:ascii="Symbol" w:hAnsi="Symbol" w:eastAsia="Symbol" w:cs="Symbol"/>
      </w:rPr>
      <w:start w:val="1"/>
      <w:suff w:val="tab"/>
    </w:lvl>
    <w:lvl w:ilvl="4">
      <w:isLgl w:val="false"/>
      <w:lvlJc w:val="left"/>
      <w:lvlText w:val="o"/>
      <w:numFmt w:val="bullet"/>
      <w:pPr>
        <w:pBdr/>
        <w:spacing/>
        <w:ind w:hanging="360" w:left="4309"/>
      </w:pPr>
      <w:rPr>
        <w:rFonts w:hint="default" w:ascii="Courier New" w:hAnsi="Courier New" w:eastAsia="Courier New" w:cs="Courier New"/>
      </w:rPr>
      <w:start w:val="1"/>
      <w:suff w:val="tab"/>
    </w:lvl>
    <w:lvl w:ilvl="5">
      <w:isLgl w:val="false"/>
      <w:lvlJc w:val="left"/>
      <w:lvlText w:val="§"/>
      <w:numFmt w:val="bullet"/>
      <w:pPr>
        <w:pBdr/>
        <w:spacing/>
        <w:ind w:hanging="360" w:left="5029"/>
      </w:pPr>
      <w:rPr>
        <w:rFonts w:hint="default" w:ascii="Wingdings" w:hAnsi="Wingdings" w:eastAsia="Wingdings" w:cs="Wingdings"/>
      </w:rPr>
      <w:start w:val="1"/>
      <w:suff w:val="tab"/>
    </w:lvl>
    <w:lvl w:ilvl="6">
      <w:isLgl w:val="false"/>
      <w:lvlJc w:val="left"/>
      <w:lvlText w:val="·"/>
      <w:numFmt w:val="bullet"/>
      <w:pPr>
        <w:pBdr/>
        <w:spacing/>
        <w:ind w:hanging="360" w:left="5749"/>
      </w:pPr>
      <w:rPr>
        <w:rFonts w:hint="default" w:ascii="Symbol" w:hAnsi="Symbol" w:eastAsia="Symbol" w:cs="Symbol"/>
      </w:rPr>
      <w:start w:val="1"/>
      <w:suff w:val="tab"/>
    </w:lvl>
    <w:lvl w:ilvl="7">
      <w:isLgl w:val="false"/>
      <w:lvlJc w:val="left"/>
      <w:lvlText w:val="o"/>
      <w:numFmt w:val="bullet"/>
      <w:pPr>
        <w:pBdr/>
        <w:spacing/>
        <w:ind w:hanging="360" w:left="6469"/>
      </w:pPr>
      <w:rPr>
        <w:rFonts w:hint="default" w:ascii="Courier New" w:hAnsi="Courier New" w:eastAsia="Courier New" w:cs="Courier New"/>
      </w:rPr>
      <w:start w:val="1"/>
      <w:suff w:val="tab"/>
    </w:lvl>
    <w:lvl w:ilvl="8">
      <w:isLgl w:val="false"/>
      <w:lvlJc w:val="left"/>
      <w:lvlText w:val="§"/>
      <w:numFmt w:val="bullet"/>
      <w:pPr>
        <w:pBdr/>
        <w:spacing/>
        <w:ind w:hanging="360" w:left="7189"/>
      </w:pPr>
      <w:rPr>
        <w:rFonts w:hint="default" w:ascii="Wingdings" w:hAnsi="Wingdings" w:eastAsia="Wingdings" w:cs="Wingdings"/>
      </w:rPr>
      <w:start w:val="1"/>
      <w:suff w:val="tab"/>
    </w:lvl>
  </w:abstractNum>
  <w:abstractNum w:abstractNumId="24">
    <w:lvl w:ilvl="0">
      <w:isLgl w:val="false"/>
      <w:lvlJc w:val="left"/>
      <w:lvlText w:val="–"/>
      <w:numFmt w:val="bullet"/>
      <w:pPr>
        <w:pBdr/>
        <w:spacing/>
        <w:ind w:hanging="360" w:left="1429"/>
      </w:pPr>
      <w:rPr>
        <w:rFonts w:hint="default" w:ascii="Arial" w:hAnsi="Arial" w:eastAsia="Arial" w:cs="Arial"/>
      </w:rPr>
      <w:start w:val="1"/>
      <w:suff w:val="tab"/>
    </w:lvl>
    <w:lvl w:ilvl="1">
      <w:isLgl w:val="false"/>
      <w:lvlJc w:val="left"/>
      <w:lvlText w:val="o"/>
      <w:numFmt w:val="bullet"/>
      <w:pPr>
        <w:pBdr/>
        <w:spacing/>
        <w:ind w:hanging="360" w:left="2149"/>
      </w:pPr>
      <w:rPr>
        <w:rFonts w:hint="default" w:ascii="Courier New" w:hAnsi="Courier New" w:eastAsia="Courier New" w:cs="Courier New"/>
      </w:rPr>
      <w:start w:val="1"/>
      <w:suff w:val="tab"/>
    </w:lvl>
    <w:lvl w:ilvl="2">
      <w:isLgl w:val="false"/>
      <w:lvlJc w:val="left"/>
      <w:lvlText w:val="§"/>
      <w:numFmt w:val="bullet"/>
      <w:pPr>
        <w:pBdr/>
        <w:spacing/>
        <w:ind w:hanging="360" w:left="2869"/>
      </w:pPr>
      <w:rPr>
        <w:rFonts w:hint="default" w:ascii="Wingdings" w:hAnsi="Wingdings" w:eastAsia="Wingdings" w:cs="Wingdings"/>
      </w:rPr>
      <w:start w:val="1"/>
      <w:suff w:val="tab"/>
    </w:lvl>
    <w:lvl w:ilvl="3">
      <w:isLgl w:val="false"/>
      <w:lvlJc w:val="left"/>
      <w:lvlText w:val="·"/>
      <w:numFmt w:val="bullet"/>
      <w:pPr>
        <w:pBdr/>
        <w:spacing/>
        <w:ind w:hanging="360" w:left="3589"/>
      </w:pPr>
      <w:rPr>
        <w:rFonts w:hint="default" w:ascii="Symbol" w:hAnsi="Symbol" w:eastAsia="Symbol" w:cs="Symbol"/>
      </w:rPr>
      <w:start w:val="1"/>
      <w:suff w:val="tab"/>
    </w:lvl>
    <w:lvl w:ilvl="4">
      <w:isLgl w:val="false"/>
      <w:lvlJc w:val="left"/>
      <w:lvlText w:val="o"/>
      <w:numFmt w:val="bullet"/>
      <w:pPr>
        <w:pBdr/>
        <w:spacing/>
        <w:ind w:hanging="360" w:left="4309"/>
      </w:pPr>
      <w:rPr>
        <w:rFonts w:hint="default" w:ascii="Courier New" w:hAnsi="Courier New" w:eastAsia="Courier New" w:cs="Courier New"/>
      </w:rPr>
      <w:start w:val="1"/>
      <w:suff w:val="tab"/>
    </w:lvl>
    <w:lvl w:ilvl="5">
      <w:isLgl w:val="false"/>
      <w:lvlJc w:val="left"/>
      <w:lvlText w:val="§"/>
      <w:numFmt w:val="bullet"/>
      <w:pPr>
        <w:pBdr/>
        <w:spacing/>
        <w:ind w:hanging="360" w:left="5029"/>
      </w:pPr>
      <w:rPr>
        <w:rFonts w:hint="default" w:ascii="Wingdings" w:hAnsi="Wingdings" w:eastAsia="Wingdings" w:cs="Wingdings"/>
      </w:rPr>
      <w:start w:val="1"/>
      <w:suff w:val="tab"/>
    </w:lvl>
    <w:lvl w:ilvl="6">
      <w:isLgl w:val="false"/>
      <w:lvlJc w:val="left"/>
      <w:lvlText w:val="·"/>
      <w:numFmt w:val="bullet"/>
      <w:pPr>
        <w:pBdr/>
        <w:spacing/>
        <w:ind w:hanging="360" w:left="5749"/>
      </w:pPr>
      <w:rPr>
        <w:rFonts w:hint="default" w:ascii="Symbol" w:hAnsi="Symbol" w:eastAsia="Symbol" w:cs="Symbol"/>
      </w:rPr>
      <w:start w:val="1"/>
      <w:suff w:val="tab"/>
    </w:lvl>
    <w:lvl w:ilvl="7">
      <w:isLgl w:val="false"/>
      <w:lvlJc w:val="left"/>
      <w:lvlText w:val="o"/>
      <w:numFmt w:val="bullet"/>
      <w:pPr>
        <w:pBdr/>
        <w:spacing/>
        <w:ind w:hanging="360" w:left="6469"/>
      </w:pPr>
      <w:rPr>
        <w:rFonts w:hint="default" w:ascii="Courier New" w:hAnsi="Courier New" w:eastAsia="Courier New" w:cs="Courier New"/>
      </w:rPr>
      <w:start w:val="1"/>
      <w:suff w:val="tab"/>
    </w:lvl>
    <w:lvl w:ilvl="8">
      <w:isLgl w:val="false"/>
      <w:lvlJc w:val="left"/>
      <w:lvlText w:val="§"/>
      <w:numFmt w:val="bullet"/>
      <w:pPr>
        <w:pBdr/>
        <w:spacing/>
        <w:ind w:hanging="360" w:left="7189"/>
      </w:pPr>
      <w:rPr>
        <w:rFonts w:hint="default" w:ascii="Wingdings" w:hAnsi="Wingdings" w:eastAsia="Wingdings" w:cs="Wingdings"/>
      </w:rPr>
      <w:start w:val="1"/>
      <w:suff w:val="tab"/>
    </w:lvl>
  </w:abstractNum>
  <w:num w:numId="1">
    <w:abstractNumId w:val="18"/>
  </w:num>
  <w:num w:numId="2">
    <w:abstractNumId w:val="0"/>
  </w:num>
  <w:num w:numId="3">
    <w:abstractNumId w:val="8"/>
  </w:num>
  <w:num w:numId="4">
    <w:abstractNumId w:val="1"/>
  </w:num>
  <w:num w:numId="5">
    <w:abstractNumId w:val="11"/>
  </w:num>
  <w:num w:numId="6">
    <w:abstractNumId w:val="15"/>
  </w:num>
  <w:num w:numId="7">
    <w:abstractNumId w:val="3"/>
  </w:num>
  <w:num w:numId="8">
    <w:abstractNumId w:val="13"/>
  </w:num>
  <w:num w:numId="9">
    <w:abstractNumId w:val="6"/>
  </w:num>
  <w:num w:numId="10">
    <w:abstractNumId w:val="12"/>
  </w:num>
  <w:num w:numId="11">
    <w:abstractNumId w:val="4"/>
  </w:num>
  <w:num w:numId="12">
    <w:abstractNumId w:val="16"/>
  </w:num>
  <w:num w:numId="13">
    <w:abstractNumId w:val="14"/>
  </w:num>
  <w:num w:numId="14">
    <w:abstractNumId w:val="2"/>
  </w:num>
  <w:num w:numId="15">
    <w:abstractNumId w:val="20"/>
  </w:num>
  <w:num w:numId="16">
    <w:abstractNumId w:val="22"/>
  </w:num>
  <w:num w:numId="17">
    <w:abstractNumId w:val="5"/>
  </w:num>
  <w:num w:numId="18">
    <w:abstractNumId w:val="21"/>
  </w:num>
  <w:num w:numId="19">
    <w:abstractNumId w:val="9"/>
  </w:num>
  <w:num w:numId="20">
    <w:abstractNumId w:val="17"/>
  </w:num>
  <w:num w:numId="21">
    <w:abstractNumId w:val="10"/>
  </w:num>
  <w:num w:numId="22">
    <w:abstractNumId w:val="7"/>
  </w:num>
  <w:num w:numId="23">
    <w:abstractNumId w:val="19"/>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ptos" w:hAnsi="Aptos" w:eastAsia="Aptos" w:cs="Aptos"/>
        <w:sz w:val="24"/>
        <w:szCs w:val="24"/>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5">
    <w:name w:val="Endnote Text Char"/>
    <w:basedOn w:val="796"/>
    <w:link w:val="948"/>
    <w:uiPriority w:val="99"/>
    <w:semiHidden/>
    <w:pPr>
      <w:pBdr/>
      <w:spacing/>
      <w:ind/>
    </w:pPr>
    <w:rPr>
      <w:sz w:val="20"/>
      <w:szCs w:val="20"/>
    </w:rPr>
  </w:style>
  <w:style w:type="paragraph" w:styleId="786" w:default="1">
    <w:name w:val="Normal"/>
    <w:qFormat/>
    <w:pPr>
      <w:pBdr/>
      <w:spacing/>
      <w:ind/>
    </w:pPr>
  </w:style>
  <w:style w:type="paragraph" w:styleId="787">
    <w:name w:val="Heading 1"/>
    <w:basedOn w:val="786"/>
    <w:next w:val="786"/>
    <w:link w:val="965"/>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788">
    <w:name w:val="Heading 2"/>
    <w:basedOn w:val="786"/>
    <w:next w:val="786"/>
    <w:link w:val="966"/>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789">
    <w:name w:val="Heading 3"/>
    <w:basedOn w:val="786"/>
    <w:next w:val="786"/>
    <w:link w:val="967"/>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790">
    <w:name w:val="Heading 4"/>
    <w:basedOn w:val="786"/>
    <w:next w:val="786"/>
    <w:link w:val="968"/>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791">
    <w:name w:val="Heading 5"/>
    <w:basedOn w:val="786"/>
    <w:next w:val="786"/>
    <w:link w:val="969"/>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792">
    <w:name w:val="Heading 6"/>
    <w:basedOn w:val="786"/>
    <w:next w:val="786"/>
    <w:link w:val="970"/>
    <w:uiPriority w:val="9"/>
    <w:semiHidden/>
    <w:unhideWhenUsed/>
    <w:qFormat/>
    <w:pPr>
      <w:keepNext w:val="true"/>
      <w:keepLines w:val="true"/>
      <w:pBdr/>
      <w:spacing w:before="40"/>
      <w:ind/>
      <w:outlineLvl w:val="5"/>
    </w:pPr>
    <w:rPr>
      <w:rFonts w:eastAsiaTheme="majorEastAsia" w:cstheme="majorBidi"/>
      <w:i/>
      <w:iCs/>
      <w:color w:val="595959" w:themeColor="text1" w:themeTint="A6"/>
    </w:rPr>
  </w:style>
  <w:style w:type="paragraph" w:styleId="793">
    <w:name w:val="Heading 7"/>
    <w:basedOn w:val="786"/>
    <w:next w:val="786"/>
    <w:link w:val="971"/>
    <w:uiPriority w:val="9"/>
    <w:semiHidden/>
    <w:unhideWhenUsed/>
    <w:qFormat/>
    <w:pPr>
      <w:keepNext w:val="true"/>
      <w:keepLines w:val="true"/>
      <w:pBdr/>
      <w:spacing w:before="40"/>
      <w:ind/>
      <w:outlineLvl w:val="6"/>
    </w:pPr>
    <w:rPr>
      <w:rFonts w:eastAsiaTheme="majorEastAsia" w:cstheme="majorBidi"/>
      <w:color w:val="595959" w:themeColor="text1" w:themeTint="A6"/>
    </w:rPr>
  </w:style>
  <w:style w:type="paragraph" w:styleId="794">
    <w:name w:val="Heading 8"/>
    <w:basedOn w:val="786"/>
    <w:next w:val="786"/>
    <w:link w:val="972"/>
    <w:uiPriority w:val="9"/>
    <w:semiHidden/>
    <w:unhideWhenUsed/>
    <w:qFormat/>
    <w:pPr>
      <w:keepNext w:val="true"/>
      <w:keepLines w:val="true"/>
      <w:pBdr/>
      <w:spacing/>
      <w:ind/>
      <w:outlineLvl w:val="7"/>
    </w:pPr>
    <w:rPr>
      <w:rFonts w:eastAsiaTheme="majorEastAsia" w:cstheme="majorBidi"/>
      <w:i/>
      <w:iCs/>
      <w:color w:val="272727" w:themeColor="text1" w:themeTint="D8"/>
    </w:rPr>
  </w:style>
  <w:style w:type="paragraph" w:styleId="795">
    <w:name w:val="Heading 9"/>
    <w:basedOn w:val="786"/>
    <w:next w:val="786"/>
    <w:link w:val="973"/>
    <w:uiPriority w:val="9"/>
    <w:semiHidden/>
    <w:unhideWhenUsed/>
    <w:qFormat/>
    <w:pPr>
      <w:keepNext w:val="true"/>
      <w:keepLines w:val="true"/>
      <w:pBdr/>
      <w:spacing/>
      <w:ind/>
      <w:outlineLvl w:val="8"/>
    </w:pPr>
    <w:rPr>
      <w:rFonts w:eastAsiaTheme="majorEastAsia" w:cstheme="majorBidi"/>
      <w:color w:val="272727" w:themeColor="text1" w:themeTint="D8"/>
    </w:rPr>
  </w:style>
  <w:style w:type="character" w:styleId="796" w:default="1">
    <w:name w:val="Default Paragraph Font"/>
    <w:uiPriority w:val="1"/>
    <w:semiHidden/>
    <w:unhideWhenUsed/>
    <w:pPr>
      <w:pBdr/>
      <w:spacing/>
      <w:ind/>
    </w:pPr>
  </w:style>
  <w:style w:type="table" w:styleId="79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8" w:default="1">
    <w:name w:val="No List"/>
    <w:uiPriority w:val="99"/>
    <w:semiHidden/>
    <w:unhideWhenUsed/>
    <w:pPr>
      <w:pBdr/>
      <w:spacing/>
      <w:ind/>
    </w:pPr>
  </w:style>
  <w:style w:type="table" w:styleId="799">
    <w:name w:val="Table Grid"/>
    <w:basedOn w:val="797"/>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Table Grid Light"/>
    <w:basedOn w:val="79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Plain Table 1"/>
    <w:basedOn w:val="797"/>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Plain Table 2"/>
    <w:basedOn w:val="797"/>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Plain Table 3"/>
    <w:basedOn w:val="79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Plain Table 4"/>
    <w:basedOn w:val="79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Plain Table 5"/>
    <w:basedOn w:val="797"/>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1 Light"/>
    <w:basedOn w:val="797"/>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1 Light - Accent 1"/>
    <w:basedOn w:val="797"/>
    <w:uiPriority w:val="99"/>
    <w:pPr>
      <w:pBdr/>
      <w:spacing/>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ab2e1"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1 Light - Accent 2"/>
    <w:basedOn w:val="797"/>
    <w:uiPriority w:val="99"/>
    <w:pPr>
      <w:pBdr/>
      <w:spacing/>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2ab87"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1 Light - Accent 3"/>
    <w:basedOn w:val="797"/>
    <w:uiPriority w:val="99"/>
    <w:pPr>
      <w:pBdr/>
      <w:spacing/>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bd55e"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1 Light - Accent 4"/>
    <w:basedOn w:val="797"/>
    <w:uiPriority w:val="99"/>
    <w:pPr>
      <w:pBdr/>
      <w:spacing/>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4ccf4"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1 Light - Accent 5"/>
    <w:basedOn w:val="797"/>
    <w:uiPriority w:val="99"/>
    <w:pPr>
      <w:pBdr/>
      <w:spacing/>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971c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1 Light - Accent 6"/>
    <w:basedOn w:val="797"/>
    <w:uiPriority w:val="99"/>
    <w:pPr>
      <w:pBdr/>
      <w:spacing/>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0d976"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2"/>
    <w:basedOn w:val="79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2 - Accent 1"/>
    <w:basedOn w:val="797"/>
    <w:uiPriority w:val="99"/>
    <w:pPr>
      <w:pBdr/>
      <w:spacing/>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729b"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729b"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2 - Accent 2"/>
    <w:basedOn w:val="797"/>
    <w:uiPriority w:val="99"/>
    <w:pPr>
      <w:pBdr/>
      <w:spacing/>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2aa8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2 - Accent 3"/>
    <w:basedOn w:val="797"/>
    <w:uiPriority w:val="99"/>
    <w:pPr>
      <w:pBdr/>
      <w:spacing/>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6c24"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2 - Accent 4"/>
    <w:basedOn w:val="797"/>
    <w:uiPriority w:val="99"/>
    <w:pPr>
      <w:pBdr/>
      <w:spacing/>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fcaf3"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2 - Accent 5"/>
    <w:basedOn w:val="797"/>
    <w:uiPriority w:val="99"/>
    <w:pPr>
      <w:pBdr/>
      <w:spacing/>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02b93"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2 - Accent 6"/>
    <w:basedOn w:val="797"/>
    <w:uiPriority w:val="99"/>
    <w:pPr>
      <w:pBdr/>
      <w:spacing/>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ea72e"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3"/>
    <w:basedOn w:val="797"/>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3 - Accent 1"/>
    <w:basedOn w:val="797"/>
    <w:uiPriority w:val="99"/>
    <w:pPr>
      <w:pBdr/>
      <w:spacing/>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3 - Accent 2"/>
    <w:basedOn w:val="797"/>
    <w:uiPriority w:val="99"/>
    <w:pPr>
      <w:pBdr/>
      <w:spacing/>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3 - Accent 3"/>
    <w:basedOn w:val="797"/>
    <w:uiPriority w:val="99"/>
    <w:pPr>
      <w:pBdr/>
      <w:spacing/>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3 - Accent 4"/>
    <w:basedOn w:val="797"/>
    <w:uiPriority w:val="99"/>
    <w:pPr>
      <w:pBdr/>
      <w:spacing/>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3 - Accent 5"/>
    <w:basedOn w:val="797"/>
    <w:uiPriority w:val="99"/>
    <w:pPr>
      <w:pBdr/>
      <w:spacing/>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3 - Accent 6"/>
    <w:basedOn w:val="797"/>
    <w:uiPriority w:val="99"/>
    <w:pPr>
      <w:pBdr/>
      <w:spacing/>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4"/>
    <w:basedOn w:val="797"/>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4 - Accent 1"/>
    <w:basedOn w:val="797"/>
    <w:uiPriority w:val="59"/>
    <w:pPr>
      <w:pBdr/>
      <w:spacing/>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insideV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729b" w:themeColor="accent1" w:themeTint="EA" w:fill="19729b" w:themeFill="accent1" w:themeFillTint="EA"/>
        <w:tcBorders>
          <w:top w:val="single" w:color="19729b" w:themeColor="accent1" w:themeTint="EA" w:sz="4" w:space="0"/>
          <w:left w:val="single" w:color="19729b" w:themeColor="accent1" w:themeTint="EA" w:sz="4" w:space="0"/>
          <w:bottom w:val="single" w:color="19729b" w:themeColor="accent1" w:themeTint="EA" w:sz="4" w:space="0"/>
          <w:right w:val="single" w:color="19729b"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729b"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4 - Accent 2"/>
    <w:basedOn w:val="797"/>
    <w:uiPriority w:val="59"/>
    <w:pPr>
      <w:pBdr/>
      <w:spacing/>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insideV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4 - Accent 3"/>
    <w:basedOn w:val="797"/>
    <w:uiPriority w:val="59"/>
    <w:pPr>
      <w:pBdr/>
      <w:spacing/>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insideV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c24" w:themeColor="accent3" w:themeTint="FE" w:fill="196c24" w:themeFill="accent3" w:themeFillTint="FE"/>
        <w:tc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c24"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4 - Accent 4"/>
    <w:basedOn w:val="797"/>
    <w:uiPriority w:val="59"/>
    <w:pPr>
      <w:pBdr/>
      <w:spacing/>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insideV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4 - Accent 5"/>
    <w:basedOn w:val="797"/>
    <w:uiPriority w:val="59"/>
    <w:pPr>
      <w:pBdr/>
      <w:spacing/>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op w:val="single" w:color="a02b93" w:themeColor="accent5" w:sz="4" w:space="0"/>
          <w:left w:val="single" w:color="a02b93" w:themeColor="accent5" w:sz="4" w:space="0"/>
          <w:bottom w:val="single" w:color="a02b93" w:themeColor="accent5" w:sz="4" w:space="0"/>
          <w:right w:val="single" w:color="a02b93"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4 - Accent 6"/>
    <w:basedOn w:val="797"/>
    <w:uiPriority w:val="59"/>
    <w:pPr>
      <w:pBdr/>
      <w:spacing/>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op w:val="single" w:color="4ea72e" w:themeColor="accent6" w:sz="4" w:space="0"/>
          <w:left w:val="single" w:color="4ea72e" w:themeColor="accent6" w:sz="4" w:space="0"/>
          <w:bottom w:val="single" w:color="4ea72e" w:themeColor="accent6" w:sz="4" w:space="0"/>
          <w:right w:val="single" w:color="4ea72e"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5 Dark"/>
    <w:basedOn w:val="79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5 Dark- Accent 1"/>
    <w:basedOn w:val="79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e4f4" w:themeColor="accent1" w:themeTint="34" w:fill="bfe4f4" w:themeFill="accent1" w:themeFillTint="34"/>
    </w:tblPr>
    <w:tcPr>
      <w:tcBorders/>
    </w:tcPr>
    <w:tblStylePr w:type="band1Horz">
      <w:pPr>
        <w:pBdr/>
        <w:spacing/>
        <w:ind/>
      </w:pPr>
      <w:tblPr>
        <w:tblBorders/>
      </w:tblPr>
      <w:tcPr>
        <w:shd w:val="clear" w:color="70c2e8" w:themeColor="accent1" w:themeTint="75" w:fill="70c2e8" w:themeFill="accent1" w:themeFillTint="75"/>
        <w:tcBorders/>
      </w:tcPr>
    </w:tblStylePr>
    <w:tblStylePr w:type="band1Vert">
      <w:pPr>
        <w:pBdr/>
        <w:spacing/>
        <w:ind/>
      </w:pPr>
      <w:tblPr>
        <w:tblBorders/>
      </w:tblPr>
      <w:tcPr>
        <w:shd w:val="clear" w:color="70c2e8" w:themeColor="accent1" w:themeTint="75" w:fill="70c2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56082" w:themeColor="accent1" w:fill="156082" w:themeFill="accent1"/>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rFonts w:ascii="Arial" w:hAnsi="Arial"/>
        <w:b/>
        <w:color w:val="ffffff"/>
        <w:sz w:val="22"/>
      </w:rPr>
      <w:pPr>
        <w:pBdr/>
        <w:spacing/>
        <w:ind/>
      </w:pPr>
      <w:tblPr>
        <w:tblBorders/>
      </w:tblPr>
      <w:tcPr>
        <w:shd w:val="clear" w:color="156082" w:themeColor="accent1" w:fill="156082" w:themeFill="accent1"/>
        <w:tcBorders/>
      </w:tcPr>
    </w:tblStylePr>
    <w:tblStylePr w:type="lastRow">
      <w:rPr>
        <w:rFonts w:ascii="Arial" w:hAnsi="Arial"/>
        <w:b/>
        <w:color w:val="ffffff"/>
        <w:sz w:val="22"/>
      </w:rPr>
      <w:pPr>
        <w:pBdr/>
        <w:spacing/>
        <w:ind/>
      </w:pPr>
      <w:tblPr>
        <w:tblBorders/>
      </w:tblPr>
      <w:tcPr>
        <w:shd w:val="clear" w:color="156082" w:themeColor="accent1" w:fill="156082"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5 Dark - Accent 2"/>
    <w:basedOn w:val="79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ae2d6" w:themeColor="accent2" w:themeTint="32" w:fill="fae2d6" w:themeFill="accent2" w:themeFillTint="32"/>
    </w:tblPr>
    <w:tcPr>
      <w:tcBorders/>
    </w:tcPr>
    <w:tblStylePr w:type="band1Horz">
      <w:pPr>
        <w:pBdr/>
        <w:spacing/>
        <w:ind/>
      </w:pPr>
      <w:tblPr>
        <w:tblBorders/>
      </w:tblPr>
      <w:tcPr>
        <w:shd w:val="clear" w:color="f5bda0" w:themeColor="accent2" w:themeTint="75" w:fill="f5bda0" w:themeFill="accent2" w:themeFillTint="75"/>
        <w:tcBorders/>
      </w:tcPr>
    </w:tblStylePr>
    <w:tblStylePr w:type="band1Vert">
      <w:pPr>
        <w:pBdr/>
        <w:spacing/>
        <w:ind/>
      </w:pPr>
      <w:tblPr>
        <w:tblBorders/>
      </w:tblPr>
      <w:tcPr>
        <w:shd w:val="clear" w:color="f5bda0" w:themeColor="accent2" w:themeTint="75" w:fill="f5bd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97132" w:themeColor="accent2" w:fill="e97132" w:themeFill="accent2"/>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rFonts w:ascii="Arial" w:hAnsi="Arial"/>
        <w:b/>
        <w:color w:val="ffffff"/>
        <w:sz w:val="22"/>
      </w:rPr>
      <w:pPr>
        <w:pBdr/>
        <w:spacing/>
        <w:ind/>
      </w:pPr>
      <w:tblPr>
        <w:tblBorders/>
      </w:tblPr>
      <w:tcPr>
        <w:shd w:val="clear" w:color="e97132" w:themeColor="accent2" w:fill="e97132" w:themeFill="accent2"/>
        <w:tcBorders/>
      </w:tcPr>
    </w:tblStylePr>
    <w:tblStylePr w:type="lastRow">
      <w:rPr>
        <w:rFonts w:ascii="Arial" w:hAnsi="Arial"/>
        <w:b/>
        <w:color w:val="ffffff"/>
        <w:sz w:val="22"/>
      </w:rPr>
      <w:pPr>
        <w:pBdr/>
        <w:spacing/>
        <w:ind/>
      </w:pPr>
      <w:tblPr>
        <w:tblBorders/>
      </w:tblPr>
      <w:tcPr>
        <w:shd w:val="clear" w:color="e97132" w:themeColor="accent2" w:fill="e97132"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5 Dark - Accent 3"/>
    <w:basedOn w:val="79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0f0c6" w:themeColor="accent3" w:themeTint="34" w:fill="c0f0c6" w:themeFill="accent3" w:themeFillTint="34"/>
    </w:tblPr>
    <w:tcPr>
      <w:tcBorders/>
    </w:tcPr>
    <w:tblStylePr w:type="band1Horz">
      <w:pPr>
        <w:pBdr/>
        <w:spacing/>
        <w:ind/>
      </w:pPr>
      <w:tblPr>
        <w:tblBorders/>
      </w:tblPr>
      <w:tcPr>
        <w:shd w:val="clear" w:color="72de80" w:themeColor="accent3" w:themeTint="75" w:fill="72de80" w:themeFill="accent3" w:themeFillTint="75"/>
        <w:tcBorders/>
      </w:tcPr>
    </w:tblStylePr>
    <w:tblStylePr w:type="band1Vert">
      <w:pPr>
        <w:pBdr/>
        <w:spacing/>
        <w:ind/>
      </w:pPr>
      <w:tblPr>
        <w:tblBorders/>
      </w:tblPr>
      <w:tcPr>
        <w:shd w:val="clear" w:color="72de80" w:themeColor="accent3" w:themeTint="75" w:fill="72de80"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96b24" w:themeColor="accent3" w:fill="196b24" w:themeFill="accent3"/>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rFonts w:ascii="Arial" w:hAnsi="Arial"/>
        <w:b/>
        <w:color w:val="ffffff"/>
        <w:sz w:val="22"/>
      </w:rPr>
      <w:pPr>
        <w:pBdr/>
        <w:spacing/>
        <w:ind/>
      </w:pPr>
      <w:tblPr>
        <w:tblBorders/>
      </w:tblPr>
      <w:tcPr>
        <w:shd w:val="clear" w:color="196b24" w:themeColor="accent3" w:fill="196b24" w:themeFill="accent3"/>
        <w:tcBorders/>
      </w:tcPr>
    </w:tblStylePr>
    <w:tblStylePr w:type="lastRow">
      <w:rPr>
        <w:rFonts w:ascii="Arial" w:hAnsi="Arial"/>
        <w:b/>
        <w:color w:val="ffffff"/>
        <w:sz w:val="22"/>
      </w:rPr>
      <w:pPr>
        <w:pBdr/>
        <w:spacing/>
        <w:ind/>
      </w:pPr>
      <w:tblPr>
        <w:tblBorders/>
      </w:tblPr>
      <w:tcPr>
        <w:shd w:val="clear" w:color="196b24" w:themeColor="accent3" w:fill="196b24"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Grid Table 5 Dark- Accent 4"/>
    <w:basedOn w:val="79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9edfb" w:themeColor="accent4" w:themeTint="34" w:fill="c9edfb" w:themeFill="accent4" w:themeFillTint="34"/>
    </w:tblPr>
    <w:tcPr>
      <w:tcBorders/>
    </w:tcPr>
    <w:tblStylePr w:type="band1Horz">
      <w:pPr>
        <w:pBdr/>
        <w:spacing/>
        <w:ind/>
      </w:pPr>
      <w:tblPr>
        <w:tblBorders/>
      </w:tblPr>
      <w:tcPr>
        <w:shd w:val="clear" w:color="85d7f6" w:themeColor="accent4" w:themeTint="75" w:fill="85d7f6" w:themeFill="accent4" w:themeFillTint="75"/>
        <w:tcBorders/>
      </w:tcPr>
    </w:tblStylePr>
    <w:tblStylePr w:type="band1Vert">
      <w:pPr>
        <w:pBdr/>
        <w:spacing/>
        <w:ind/>
      </w:pPr>
      <w:tblPr>
        <w:tblBorders/>
      </w:tblPr>
      <w:tcPr>
        <w:shd w:val="clear" w:color="85d7f6" w:themeColor="accent4" w:themeTint="75" w:fill="85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f9ed5" w:themeColor="accent4" w:fill="0f9ed5" w:themeFill="accent4"/>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rFonts w:ascii="Arial" w:hAnsi="Arial"/>
        <w:b/>
        <w:color w:val="ffffff"/>
        <w:sz w:val="22"/>
      </w:rPr>
      <w:pPr>
        <w:pBdr/>
        <w:spacing/>
        <w:ind/>
      </w:pPr>
      <w:tblPr>
        <w:tblBorders/>
      </w:tblPr>
      <w:tcPr>
        <w:shd w:val="clear" w:color="0f9ed5" w:themeColor="accent4" w:fill="0f9ed5" w:themeFill="accent4"/>
        <w:tcBorders/>
      </w:tcPr>
    </w:tblStylePr>
    <w:tblStylePr w:type="lastRow">
      <w:rPr>
        <w:rFonts w:ascii="Arial" w:hAnsi="Arial"/>
        <w:b/>
        <w:color w:val="ffffff"/>
        <w:sz w:val="22"/>
      </w:rPr>
      <w:pPr>
        <w:pBdr/>
        <w:spacing/>
        <w:ind/>
      </w:pPr>
      <w:tblPr>
        <w:tblBorders/>
      </w:tblPr>
      <w:tcPr>
        <w:shd w:val="clear" w:color="0f9ed5" w:themeColor="accent4" w:fill="0f9ed5"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5 Dark - Accent 5"/>
    <w:basedOn w:val="79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1cded" w:themeColor="accent5" w:themeTint="34" w:fill="f1cded" w:themeFill="accent5" w:themeFillTint="34"/>
    </w:tblPr>
    <w:tcPr>
      <w:tcBorders/>
    </w:tcPr>
    <w:tblStylePr w:type="band1Horz">
      <w:pPr>
        <w:pBdr/>
        <w:spacing/>
        <w:ind/>
      </w:pPr>
      <w:tblPr>
        <w:tblBorders/>
      </w:tblPr>
      <w:tcPr>
        <w:shd w:val="clear" w:color="e18fd7" w:themeColor="accent5" w:themeTint="75" w:fill="e18fd7" w:themeFill="accent5" w:themeFillTint="75"/>
        <w:tcBorders/>
      </w:tcPr>
    </w:tblStylePr>
    <w:tblStylePr w:type="band1Vert">
      <w:pPr>
        <w:pBdr/>
        <w:spacing/>
        <w:ind/>
      </w:pPr>
      <w:tblPr>
        <w:tblBorders/>
      </w:tblPr>
      <w:tcPr>
        <w:shd w:val="clear" w:color="e18fd7" w:themeColor="accent5" w:themeTint="75" w:fill="e18fd7"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02b93" w:themeColor="accent5" w:fill="a02b93" w:themeFill="accent5"/>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rFonts w:ascii="Arial" w:hAnsi="Arial"/>
        <w:b/>
        <w:color w:val="ffffff"/>
        <w:sz w:val="22"/>
      </w:rPr>
      <w:pPr>
        <w:pBdr/>
        <w:spacing/>
        <w:ind/>
      </w:pPr>
      <w:tblPr>
        <w:tblBorders/>
      </w:tblPr>
      <w:tcPr>
        <w:shd w:val="clear" w:color="a02b93" w:themeColor="accent5" w:fill="a02b93" w:themeFill="accent5"/>
        <w:tcBorders/>
      </w:tcPr>
    </w:tblStylePr>
    <w:tblStylePr w:type="lastRow">
      <w:rPr>
        <w:rFonts w:ascii="Arial" w:hAnsi="Arial"/>
        <w:b/>
        <w:color w:val="ffffff"/>
        <w:sz w:val="22"/>
      </w:rPr>
      <w:pPr>
        <w:pBdr/>
        <w:spacing/>
        <w:ind/>
      </w:pPr>
      <w:tblPr>
        <w:tblBorders/>
      </w:tblPr>
      <w:tcPr>
        <w:shd w:val="clear" w:color="a02b93" w:themeColor="accent5" w:fill="a02b93"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Grid Table 5 Dark - Accent 6"/>
    <w:basedOn w:val="797"/>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f2cf" w:themeColor="accent6" w:themeTint="34" w:fill="d8f2cf" w:themeFill="accent6" w:themeFillTint="34"/>
    </w:tblPr>
    <w:tcPr>
      <w:tcBorders/>
    </w:tcPr>
    <w:tblStylePr w:type="band1Horz">
      <w:pPr>
        <w:pBdr/>
        <w:spacing/>
        <w:ind/>
      </w:pPr>
      <w:tblPr>
        <w:tblBorders/>
      </w:tblPr>
      <w:tcPr>
        <w:shd w:val="clear" w:color="a8e194" w:themeColor="accent6" w:themeTint="75" w:fill="a8e194" w:themeFill="accent6" w:themeFillTint="75"/>
        <w:tcBorders/>
      </w:tcPr>
    </w:tblStylePr>
    <w:tblStylePr w:type="band1Vert">
      <w:pPr>
        <w:pBdr/>
        <w:spacing/>
        <w:ind/>
      </w:pPr>
      <w:tblPr>
        <w:tblBorders/>
      </w:tblPr>
      <w:tcPr>
        <w:shd w:val="clear" w:color="a8e194" w:themeColor="accent6" w:themeTint="75" w:fill="a8e1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ea72e" w:themeColor="accent6" w:fill="4ea72e" w:themeFill="accent6"/>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rFonts w:ascii="Arial" w:hAnsi="Arial"/>
        <w:b/>
        <w:color w:val="ffffff"/>
        <w:sz w:val="22"/>
      </w:rPr>
      <w:pPr>
        <w:pBdr/>
        <w:spacing/>
        <w:ind/>
      </w:pPr>
      <w:tblPr>
        <w:tblBorders/>
      </w:tblPr>
      <w:tcPr>
        <w:shd w:val="clear" w:color="4ea72e" w:themeColor="accent6" w:fill="4ea72e" w:themeFill="accent6"/>
        <w:tcBorders/>
      </w:tcPr>
    </w:tblStylePr>
    <w:tblStylePr w:type="lastRow">
      <w:rPr>
        <w:rFonts w:ascii="Arial" w:hAnsi="Arial"/>
        <w:b/>
        <w:color w:val="ffffff"/>
        <w:sz w:val="22"/>
      </w:rPr>
      <w:pPr>
        <w:pBdr/>
        <w:spacing/>
        <w:ind/>
      </w:pPr>
      <w:tblPr>
        <w:tblBorders/>
      </w:tblPr>
      <w:tcPr>
        <w:shd w:val="clear" w:color="4ea72e" w:themeColor="accent6" w:fill="4ea72e"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6 Colorful"/>
    <w:basedOn w:val="797"/>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Grid Table 6 Colorful - Accent 1"/>
    <w:basedOn w:val="797"/>
    <w:uiPriority w:val="99"/>
    <w:pPr>
      <w:pBdr/>
      <w:spacing/>
      <w:ind/>
    </w:pPr>
    <w:tblPr>
      <w:tblStyleRowBandSize w:val="1"/>
      <w:tblStyleColBandSize w:val="1"/>
      <w:tblBorders>
        <w:top w:val="single" w:color="63bde6" w:themeColor="accent1" w:themeTint="80" w:sz="4" w:space="0"/>
        <w:left w:val="single" w:color="63bde6" w:themeColor="accent1" w:themeTint="80" w:sz="4" w:space="0"/>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3bde6" w:themeColor="accent1" w:themeTint="80" w:themeShade="95"/>
      </w:rPr>
      <w:pPr>
        <w:pBdr/>
        <w:spacing/>
        <w:ind/>
      </w:pPr>
      <w:tblPr>
        <w:tblBorders/>
      </w:tblPr>
      <w:tcPr>
        <w:tcBorders/>
      </w:tcPr>
    </w:tblStylePr>
    <w:tblStylePr w:type="firstRow">
      <w:rPr>
        <w:b/>
        <w:color w:val="63bde6" w:themeColor="accent1" w:themeTint="80" w:themeShade="95"/>
      </w:rPr>
      <w:pPr>
        <w:pBdr/>
        <w:spacing/>
        <w:ind/>
      </w:pPr>
      <w:tblPr>
        <w:tblBorders/>
      </w:tblPr>
      <w:tcPr>
        <w:tcBorders>
          <w:bottom w:val="single" w:color="63bde6" w:themeColor="accent1" w:themeTint="80" w:sz="12" w:space="0"/>
        </w:tcBorders>
      </w:tcPr>
    </w:tblStylePr>
    <w:tblStylePr w:type="lastCol">
      <w:rPr>
        <w:b/>
        <w:color w:val="63bde6" w:themeColor="accent1" w:themeTint="80" w:themeShade="95"/>
      </w:rPr>
      <w:pPr>
        <w:pBdr/>
        <w:spacing/>
        <w:ind/>
      </w:pPr>
      <w:tblPr>
        <w:tblBorders/>
      </w:tblPr>
      <w:tcPr>
        <w:tcBorders/>
      </w:tcPr>
    </w:tblStylePr>
    <w:tblStylePr w:type="lastRow">
      <w:rPr>
        <w:b/>
        <w:color w:val="63bde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Grid Table 6 Colorful - Accent 2"/>
    <w:basedOn w:val="797"/>
    <w:uiPriority w:val="99"/>
    <w:pPr>
      <w:pBdr/>
      <w:spacing/>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12"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Grid Table 6 Colorful - Accent 3"/>
    <w:basedOn w:val="797"/>
    <w:uiPriority w:val="99"/>
    <w:pPr>
      <w:pBdr/>
      <w:spacing/>
      <w:ind/>
    </w:pPr>
    <w:tblPr>
      <w:tblStyleRowBandSize w:val="1"/>
      <w:tblStyleColBandSize w:val="1"/>
      <w:tbl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96c24" w:themeColor="accent3" w:themeTint="FE" w:themeShade="95"/>
      </w:rPr>
      <w:pPr>
        <w:pBdr/>
        <w:spacing/>
        <w:ind/>
      </w:pPr>
      <w:tblPr>
        <w:tblBorders/>
      </w:tblPr>
      <w:tcPr>
        <w:tcBorders/>
      </w:tcPr>
    </w:tblStylePr>
    <w:tblStylePr w:type="firstRow">
      <w:rPr>
        <w:b/>
        <w:color w:val="196c24" w:themeColor="accent3" w:themeTint="FE" w:themeShade="95"/>
      </w:rPr>
      <w:pPr>
        <w:pBdr/>
        <w:spacing/>
        <w:ind/>
      </w:pPr>
      <w:tblPr>
        <w:tblBorders/>
      </w:tblPr>
      <w:tcPr>
        <w:tcBorders>
          <w:bottom w:val="single" w:color="196c24" w:themeColor="accent3" w:themeTint="FE" w:sz="12" w:space="0"/>
        </w:tcBorders>
      </w:tcPr>
    </w:tblStylePr>
    <w:tblStylePr w:type="lastCol">
      <w:rPr>
        <w:b/>
        <w:color w:val="196c24" w:themeColor="accent3" w:themeTint="FE" w:themeShade="95"/>
      </w:rPr>
      <w:pPr>
        <w:pBdr/>
        <w:spacing/>
        <w:ind/>
      </w:pPr>
      <w:tblPr>
        <w:tblBorders/>
      </w:tblPr>
      <w:tcPr>
        <w:tcBorders/>
      </w:tcPr>
    </w:tblStylePr>
    <w:tblStylePr w:type="lastRow">
      <w:rPr>
        <w:b/>
        <w:color w:val="196c24"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Grid Table 6 Colorful - Accent 4"/>
    <w:basedOn w:val="797"/>
    <w:uiPriority w:val="99"/>
    <w:pPr>
      <w:pBdr/>
      <w:spacing/>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12"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Grid Table 6 Colorful - Accent 5"/>
    <w:basedOn w:val="797"/>
    <w:uiPriority w:val="99"/>
    <w:pPr>
      <w:pBdr/>
      <w:spacing/>
      <w:ind/>
    </w:pPr>
    <w:tblPr>
      <w:tblStyleRowBandSize w:val="1"/>
      <w:tblStyleColBandSize w:val="1"/>
      <w:tblBorders>
        <w:top w:val="single" w:color="a02b93" w:themeColor="accent5" w:sz="4" w:space="0"/>
        <w:left w:val="single" w:color="a02b93" w:themeColor="accent5" w:sz="4" w:space="0"/>
        <w:bottom w:val="single" w:color="a02b93" w:themeColor="accent5" w:sz="4" w:space="0"/>
        <w:right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a02b93" w:themeColor="accent5"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6 Colorful - Accent 6"/>
    <w:basedOn w:val="797"/>
    <w:uiPriority w:val="99"/>
    <w:pPr>
      <w:pBdr/>
      <w:spacing/>
      <w:ind/>
    </w:pPr>
    <w:tblPr>
      <w:tblStyleRowBandSize w:val="1"/>
      <w:tblStyleColBandSize w:val="1"/>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5d1955" w:themeColor="accent5"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4ea72e" w:themeColor="accent6"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7 Colorful"/>
    <w:basedOn w:val="797"/>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7 Colorful - Accent 1"/>
    <w:basedOn w:val="797"/>
    <w:uiPriority w:val="99"/>
    <w:pPr>
      <w:pBdr/>
      <w:spacing/>
      <w:ind/>
    </w:pPr>
    <w:tblPr>
      <w:tblStyleRowBandSize w:val="1"/>
      <w:tblStyleColBandSize w:val="1"/>
      <w:tblBorders>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3bde6"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63bde6" w:themeColor="accent1" w:themeTint="80" w:sz="4" w:space="0"/>
        </w:tcBorders>
      </w:tcPr>
    </w:tblStylePr>
    <w:tblStylePr w:type="fir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63bde6" w:themeColor="accent1" w:themeTint="80" w:sz="4" w:space="0"/>
          <w:right w:val="none" w:color="000000" w:sz="4" w:space="0"/>
        </w:tcBorders>
      </w:tcPr>
    </w:tblStylePr>
    <w:tblStylePr w:type="lastCol">
      <w:rPr>
        <w:rFonts w:ascii="Arial" w:hAnsi="Arial"/>
        <w:i/>
        <w:color w:val="63bde6" w:themeColor="accent1" w:themeTint="80" w:themeShade="95"/>
        <w:sz w:val="22"/>
      </w:rPr>
      <w:pPr>
        <w:pBdr/>
        <w:spacing/>
        <w:ind/>
      </w:pPr>
      <w:tblPr>
        <w:tblBorders/>
      </w:tblPr>
      <w:tcPr>
        <w:shd w:val="clear" w:color="ffffff" w:fill="auto"/>
        <w:tcBorders>
          <w:top w:val="none" w:color="000000" w:sz="4" w:space="0"/>
          <w:left w:val="single" w:color="63bde6" w:themeColor="accent1" w:themeTint="80" w:sz="4" w:space="0"/>
          <w:bottom w:val="none" w:color="000000" w:sz="4" w:space="0"/>
          <w:right w:val="none" w:color="000000" w:sz="4" w:space="0"/>
        </w:tcBorders>
      </w:tcPr>
    </w:tblStylePr>
    <w:tblStylePr w:type="la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single" w:color="63bde6"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7 Colorful - Accent 2"/>
    <w:basedOn w:val="797"/>
    <w:uiPriority w:val="99"/>
    <w:pPr>
      <w:pBdr/>
      <w:spacing/>
      <w:ind/>
    </w:pPr>
    <w:tblPr>
      <w:tblStyleRowBandSize w:val="1"/>
      <w:tblStyleColBandSize w:val="1"/>
      <w:tblBorders>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7 Colorful - Accent 3"/>
    <w:basedOn w:val="797"/>
    <w:uiPriority w:val="99"/>
    <w:pPr>
      <w:pBdr/>
      <w:spacing/>
      <w:ind/>
    </w:pPr>
    <w:tblPr>
      <w:tblStyleRowBandSize w:val="1"/>
      <w:tblStyleColBandSize w:val="1"/>
      <w:tblBorders>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96c24"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96c24" w:themeColor="accent3" w:themeTint="FE" w:sz="4" w:space="0"/>
        </w:tcBorders>
      </w:tcPr>
    </w:tblStylePr>
    <w:tblStylePr w:type="fir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96c24" w:themeColor="accent3" w:themeTint="FE" w:sz="4" w:space="0"/>
          <w:right w:val="none" w:color="000000" w:sz="4" w:space="0"/>
        </w:tcBorders>
      </w:tcPr>
    </w:tblStylePr>
    <w:tblStylePr w:type="lastCol">
      <w:rPr>
        <w:rFonts w:ascii="Arial" w:hAnsi="Arial"/>
        <w:i/>
        <w:color w:val="196c24" w:themeColor="accent3" w:themeTint="FE" w:themeShade="95"/>
        <w:sz w:val="22"/>
      </w:rPr>
      <w:pPr>
        <w:pBdr/>
        <w:spacing/>
        <w:ind/>
      </w:pPr>
      <w:tblPr>
        <w:tblBorders/>
      </w:tblPr>
      <w:tcPr>
        <w:shd w:val="clear" w:color="ffffff" w:fill="auto"/>
        <w:tcBorders>
          <w:top w:val="none" w:color="000000" w:sz="4" w:space="0"/>
          <w:left w:val="single" w:color="196c24" w:themeColor="accent3" w:themeTint="FE" w:sz="4" w:space="0"/>
          <w:bottom w:val="none" w:color="000000" w:sz="4" w:space="0"/>
          <w:right w:val="none" w:color="000000" w:sz="4" w:space="0"/>
        </w:tcBorders>
      </w:tcPr>
    </w:tblStylePr>
    <w:tblStylePr w:type="la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Grid Table 7 Colorful - Accent 4"/>
    <w:basedOn w:val="797"/>
    <w:uiPriority w:val="99"/>
    <w:pPr>
      <w:pBdr/>
      <w:spacing/>
      <w:ind/>
    </w:pPr>
    <w:tblPr>
      <w:tblStyleRowBandSize w:val="1"/>
      <w:tblStyleColBandSize w:val="1"/>
      <w:tblBorders>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Grid Table 7 Colorful - Accent 5"/>
    <w:basedOn w:val="797"/>
    <w:uiPriority w:val="99"/>
    <w:pPr>
      <w:pBdr/>
      <w:spacing/>
      <w:ind/>
    </w:pPr>
    <w:tblPr>
      <w:tblStyleRowBandSize w:val="1"/>
      <w:tblStyleColBandSize w:val="1"/>
      <w:tblBorders>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a76ce" w:themeColor="accent5" w:themeTint="90" w:sz="4" w:space="0"/>
        </w:tcBorders>
      </w:tcPr>
    </w:tblStylePr>
    <w:tblStylePr w:type="firstRow">
      <w:rPr>
        <w:rFonts w:ascii="Arial" w:hAnsi="Arial"/>
        <w:b/>
        <w:color w:val="5d195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a76ce" w:themeColor="accent5" w:themeTint="90" w:sz="4" w:space="0"/>
          <w:right w:val="none" w:color="000000" w:sz="4" w:space="0"/>
        </w:tcBorders>
      </w:tcPr>
    </w:tblStylePr>
    <w:tblStylePr w:type="lastCol">
      <w:rPr>
        <w:rFonts w:ascii="Arial" w:hAnsi="Arial"/>
        <w:i/>
        <w:color w:val="5d1955" w:themeColor="accent5" w:themeShade="95"/>
        <w:sz w:val="22"/>
      </w:rPr>
      <w:pPr>
        <w:pBdr/>
        <w:spacing/>
        <w:ind/>
      </w:pPr>
      <w:tblPr>
        <w:tblBorders/>
      </w:tblPr>
      <w:tcPr>
        <w:shd w:val="clear" w:color="ffffff" w:fill="auto"/>
        <w:tcBorders>
          <w:top w:val="none" w:color="000000" w:sz="4" w:space="0"/>
          <w:left w:val="single" w:color="da76ce" w:themeColor="accent5" w:themeTint="90" w:sz="4" w:space="0"/>
          <w:bottom w:val="none" w:color="000000" w:sz="4" w:space="0"/>
          <w:right w:val="none" w:color="000000" w:sz="4" w:space="0"/>
        </w:tcBorders>
      </w:tcPr>
    </w:tblStylePr>
    <w:tblStylePr w:type="lastRow">
      <w:rPr>
        <w:rFonts w:ascii="Arial" w:hAnsi="Arial"/>
        <w:b/>
        <w:color w:val="5d1955" w:themeColor="accent5" w:themeShade="95"/>
        <w:sz w:val="22"/>
      </w:rPr>
      <w:pPr>
        <w:pBdr/>
        <w:spacing/>
        <w:ind/>
      </w:pPr>
      <w:tblPr>
        <w:tblBorders/>
      </w:tblPr>
      <w:tcPr>
        <w:shd w:val="clear" w:color="ffffff" w:themeColor="light1" w:fill="ffffff" w:themeFill="light1"/>
        <w:tcBorders>
          <w:top w:val="single" w:color="da76c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7 Colorful - Accent 6"/>
    <w:basedOn w:val="797"/>
    <w:uiPriority w:val="99"/>
    <w:pPr>
      <w:pBdr/>
      <w:spacing/>
      <w:ind/>
    </w:pPr>
    <w:tblPr>
      <w:tblStyleRowBandSize w:val="1"/>
      <w:tblStyleColBandSize w:val="1"/>
      <w:tblBorders>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2d611b" w:themeColor="accent6"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2d61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611b"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4da7b" w:themeColor="accent6" w:themeTint="90" w:sz="4" w:space="0"/>
        </w:tcBorders>
      </w:tcPr>
    </w:tblStylePr>
    <w:tblStylePr w:type="firstRow">
      <w:rPr>
        <w:rFonts w:ascii="Arial" w:hAnsi="Arial"/>
        <w:b/>
        <w:color w:val="2d61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4da7b" w:themeColor="accent6" w:themeTint="90" w:sz="4" w:space="0"/>
          <w:right w:val="none" w:color="000000" w:sz="4" w:space="0"/>
        </w:tcBorders>
      </w:tcPr>
    </w:tblStylePr>
    <w:tblStylePr w:type="lastCol">
      <w:rPr>
        <w:rFonts w:ascii="Arial" w:hAnsi="Arial"/>
        <w:i/>
        <w:color w:val="2d611b" w:themeColor="accent6" w:themeShade="95"/>
        <w:sz w:val="22"/>
      </w:rPr>
      <w:pPr>
        <w:pBdr/>
        <w:spacing/>
        <w:ind/>
      </w:pPr>
      <w:tblPr>
        <w:tblBorders/>
      </w:tblPr>
      <w:tcPr>
        <w:shd w:val="clear" w:color="ffffff" w:fill="auto"/>
        <w:tcBorders>
          <w:top w:val="none" w:color="000000" w:sz="4" w:space="0"/>
          <w:left w:val="single" w:color="94da7b" w:themeColor="accent6" w:themeTint="90" w:sz="4" w:space="0"/>
          <w:bottom w:val="none" w:color="000000" w:sz="4" w:space="0"/>
          <w:right w:val="none" w:color="000000" w:sz="4" w:space="0"/>
        </w:tcBorders>
      </w:tcPr>
    </w:tblStylePr>
    <w:tblStylePr w:type="lastRow">
      <w:rPr>
        <w:rFonts w:ascii="Arial" w:hAnsi="Arial"/>
        <w:b/>
        <w:color w:val="2d611b" w:themeColor="accent6" w:themeShade="95"/>
        <w:sz w:val="22"/>
      </w:rPr>
      <w:pPr>
        <w:pBdr/>
        <w:spacing/>
        <w:ind/>
      </w:pPr>
      <w:tblPr>
        <w:tblBorders/>
      </w:tblPr>
      <w:tcPr>
        <w:shd w:val="clear" w:color="ffffff" w:themeColor="light1" w:fill="ffffff" w:themeFill="light1"/>
        <w:tcBorders>
          <w:top w:val="single" w:color="94da7b"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1 Light"/>
    <w:basedOn w:val="797"/>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1 Light - Accent 1"/>
    <w:basedOn w:val="797"/>
    <w:uiPriority w:val="99"/>
    <w:pPr>
      <w:pBdr/>
      <w:spacing/>
      <w:ind/>
    </w:pPr>
    <w:tblPr>
      <w:tblStyleRowBandSize w:val="1"/>
      <w:tblStyleColBandSize w:val="1"/>
      <w:tblBorders/>
    </w:tblPr>
    <w:tcPr>
      <w:tcBorders/>
    </w:tcPr>
    <w:tblStylePr w:type="band1Horz">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56082"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1 Light - Accent 2"/>
    <w:basedOn w:val="797"/>
    <w:uiPriority w:val="99"/>
    <w:pPr>
      <w:pBdr/>
      <w:spacing/>
      <w:ind/>
    </w:pPr>
    <w:tblPr>
      <w:tblStyleRowBandSize w:val="1"/>
      <w:tblStyleColBandSize w:val="1"/>
      <w:tblBorders/>
    </w:tblPr>
    <w:tcPr>
      <w:tcBorders/>
    </w:tcPr>
    <w:tblStylePr w:type="band1Horz">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97132"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97132"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1 Light - Accent 3"/>
    <w:basedOn w:val="797"/>
    <w:uiPriority w:val="99"/>
    <w:pPr>
      <w:pBdr/>
      <w:spacing/>
      <w:ind/>
    </w:pPr>
    <w:tblPr>
      <w:tblStyleRowBandSize w:val="1"/>
      <w:tblStyleColBandSize w:val="1"/>
      <w:tblBorders/>
    </w:tblPr>
    <w:tcPr>
      <w:tcBorders/>
    </w:tcPr>
    <w:tblStylePr w:type="band1Horz">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96b24"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b24"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1 Light - Accent 4"/>
    <w:basedOn w:val="797"/>
    <w:uiPriority w:val="99"/>
    <w:pPr>
      <w:pBdr/>
      <w:spacing/>
      <w:ind/>
    </w:pPr>
    <w:tblPr>
      <w:tblStyleRowBandSize w:val="1"/>
      <w:tblStyleColBandSize w:val="1"/>
      <w:tblBorders/>
    </w:tblPr>
    <w:tcPr>
      <w:tcBorders/>
    </w:tcPr>
    <w:tblStylePr w:type="band1Horz">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f9ed5"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f9ed5"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1 Light - Accent 5"/>
    <w:basedOn w:val="797"/>
    <w:uiPriority w:val="99"/>
    <w:pPr>
      <w:pBdr/>
      <w:spacing/>
      <w:ind/>
    </w:pPr>
    <w:tblPr>
      <w:tblStyleRowBandSize w:val="1"/>
      <w:tblStyleColBandSize w:val="1"/>
      <w:tblBorders/>
    </w:tblPr>
    <w:tcPr>
      <w:tcBorders/>
    </w:tcPr>
    <w:tblStylePr w:type="band1Horz">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02b93"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1 Light - Accent 6"/>
    <w:basedOn w:val="797"/>
    <w:uiPriority w:val="99"/>
    <w:pPr>
      <w:pBdr/>
      <w:spacing/>
      <w:ind/>
    </w:pPr>
    <w:tblPr>
      <w:tblStyleRowBandSize w:val="1"/>
      <w:tblStyleColBandSize w:val="1"/>
      <w:tblBorders/>
    </w:tblPr>
    <w:tcPr>
      <w:tcBorders/>
    </w:tcPr>
    <w:tblStylePr w:type="band1Horz">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ea72e"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2"/>
    <w:basedOn w:val="797"/>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2 - Accent 1"/>
    <w:basedOn w:val="797"/>
    <w:uiPriority w:val="99"/>
    <w:pPr>
      <w:pBdr/>
      <w:spacing/>
      <w:ind/>
    </w:pPr>
    <w:tblPr>
      <w:tblStyleRowBandSize w:val="1"/>
      <w:tblStyleColBandSize w:val="1"/>
      <w:tblBorders>
        <w:top w:val="single" w:color="50b4e2" w:themeColor="accent1" w:themeTint="90" w:sz="4" w:space="0"/>
        <w:bottom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2 - Accent 2"/>
    <w:basedOn w:val="797"/>
    <w:uiPriority w:val="99"/>
    <w:pPr>
      <w:pBdr/>
      <w:spacing/>
      <w:ind/>
    </w:pPr>
    <w:tblPr>
      <w:tblStyleRowBandSize w:val="1"/>
      <w:tblStyleColBandSize w:val="1"/>
      <w:tblBorders>
        <w:top w:val="single" w:color="f2ae8b" w:themeColor="accent2" w:themeTint="90" w:sz="4" w:space="0"/>
        <w:bottom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2 - Accent 3"/>
    <w:basedOn w:val="797"/>
    <w:uiPriority w:val="99"/>
    <w:pPr>
      <w:pBdr/>
      <w:spacing/>
      <w:ind/>
    </w:pPr>
    <w:tblPr>
      <w:tblStyleRowBandSize w:val="1"/>
      <w:tblStyleColBandSize w:val="1"/>
      <w:tblBorders>
        <w:top w:val="single" w:color="51d663" w:themeColor="accent3" w:themeTint="90" w:sz="4" w:space="0"/>
        <w:bottom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2 - Accent 4"/>
    <w:basedOn w:val="797"/>
    <w:uiPriority w:val="99"/>
    <w:pPr>
      <w:pBdr/>
      <w:spacing/>
      <w:ind/>
    </w:pPr>
    <w:tblPr>
      <w:tblStyleRowBandSize w:val="1"/>
      <w:tblStyleColBandSize w:val="1"/>
      <w:tblBorders>
        <w:top w:val="single" w:color="6acdf4" w:themeColor="accent4" w:themeTint="90" w:sz="4" w:space="0"/>
        <w:bottom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2 - Accent 5"/>
    <w:basedOn w:val="797"/>
    <w:uiPriority w:val="99"/>
    <w:pPr>
      <w:pBdr/>
      <w:spacing/>
      <w:ind/>
    </w:pPr>
    <w:tblPr>
      <w:tblStyleRowBandSize w:val="1"/>
      <w:tblStyleColBandSize w:val="1"/>
      <w:tblBorders>
        <w:top w:val="single" w:color="da76ce" w:themeColor="accent5" w:themeTint="90" w:sz="4" w:space="0"/>
        <w:bottom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2 - Accent 6"/>
    <w:basedOn w:val="797"/>
    <w:uiPriority w:val="99"/>
    <w:pPr>
      <w:pBdr/>
      <w:spacing/>
      <w:ind/>
    </w:pPr>
    <w:tblPr>
      <w:tblStyleRowBandSize w:val="1"/>
      <w:tblStyleColBandSize w:val="1"/>
      <w:tblBorders>
        <w:top w:val="single" w:color="94da7b" w:themeColor="accent6" w:themeTint="90" w:sz="4" w:space="0"/>
        <w:bottom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3"/>
    <w:basedOn w:val="79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3 - Accent 1"/>
    <w:basedOn w:val="797"/>
    <w:uiPriority w:val="99"/>
    <w:pPr>
      <w:pBdr/>
      <w:spacing/>
      <w:ind/>
    </w:pPr>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cPr>
      <w:tcBorders/>
    </w:tcPr>
    <w:tblStylePr w:type="band1Horz">
      <w:rPr>
        <w:rFonts w:ascii="Arial" w:hAnsi="Arial"/>
        <w:color w:val="404040"/>
        <w:sz w:val="22"/>
      </w:rPr>
      <w:pPr>
        <w:pBdr/>
        <w:spacing/>
        <w:ind/>
      </w:pPr>
      <w:tblPr>
        <w:tblBorders/>
      </w:tblPr>
      <w:tcPr>
        <w:tcBorders>
          <w:top w:val="single" w:color="156082" w:themeColor="accent1" w:sz="4" w:space="0"/>
          <w:bottom w:val="single" w:color="156082" w:themeColor="accent1" w:sz="4" w:space="0"/>
        </w:tcBorders>
      </w:tcPr>
    </w:tblStylePr>
    <w:tblStylePr w:type="band1Vert">
      <w:rPr>
        <w:rFonts w:ascii="Arial" w:hAnsi="Arial"/>
        <w:color w:val="404040"/>
        <w:sz w:val="22"/>
      </w:rPr>
      <w:pPr>
        <w:pBdr/>
        <w:spacing/>
        <w:ind/>
      </w:pPr>
      <w:tblPr>
        <w:tblBorders/>
      </w:tblPr>
      <w:tcPr>
        <w:tcBorders>
          <w:left w:val="single" w:color="156082" w:themeColor="accent1" w:sz="4" w:space="0"/>
          <w:right w:val="single" w:color="156082"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3 - Accent 2"/>
    <w:basedOn w:val="797"/>
    <w:uiPriority w:val="99"/>
    <w:pPr>
      <w:pBdr/>
      <w:spacing/>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2aa85" w:themeColor="accent2" w:themeTint="97" w:sz="4" w:space="0"/>
          <w:bottom w:val="single" w:color="f2aa85" w:themeColor="accent2" w:themeTint="97" w:sz="4" w:space="0"/>
        </w:tcBorders>
      </w:tcPr>
    </w:tblStylePr>
    <w:tblStylePr w:type="band1Vert">
      <w:rPr>
        <w:rFonts w:ascii="Arial" w:hAnsi="Arial"/>
        <w:color w:val="404040"/>
        <w:sz w:val="22"/>
      </w:rPr>
      <w:pPr>
        <w:pBdr/>
        <w:spacing/>
        <w:ind/>
      </w:pPr>
      <w:tblPr>
        <w:tblBorders/>
      </w:tblPr>
      <w:tcPr>
        <w:tcBorders>
          <w:left w:val="single" w:color="f2aa85" w:themeColor="accent2" w:themeTint="97" w:sz="4" w:space="0"/>
          <w:right w:val="single" w:color="f2aa8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3 - Accent 3"/>
    <w:basedOn w:val="797"/>
    <w:uiPriority w:val="99"/>
    <w:pPr>
      <w:pBdr/>
      <w:spacing/>
      <w:ind/>
    </w:pPr>
    <w:tblPr>
      <w:tblStyleRowBandSize w:val="1"/>
      <w:tblStyleColBandSize w:val="1"/>
      <w:tblBorders>
        <w:top w:val="single" w:color="48d45b" w:themeColor="accent3" w:themeTint="98" w:sz="4" w:space="0"/>
        <w:left w:val="single" w:color="48d45b" w:themeColor="accent3" w:themeTint="98" w:sz="4" w:space="0"/>
        <w:bottom w:val="single" w:color="48d45b" w:themeColor="accent3" w:themeTint="98" w:sz="4" w:space="0"/>
        <w:right w:val="single" w:color="48d45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48d45b" w:themeColor="accent3" w:themeTint="98" w:sz="4" w:space="0"/>
          <w:bottom w:val="single" w:color="48d45b" w:themeColor="accent3" w:themeTint="98" w:sz="4" w:space="0"/>
        </w:tcBorders>
      </w:tcPr>
    </w:tblStylePr>
    <w:tblStylePr w:type="band1Vert">
      <w:rPr>
        <w:rFonts w:ascii="Arial" w:hAnsi="Arial"/>
        <w:color w:val="404040"/>
        <w:sz w:val="22"/>
      </w:rPr>
      <w:pPr>
        <w:pBdr/>
        <w:spacing/>
        <w:ind/>
      </w:pPr>
      <w:tblPr>
        <w:tblBorders/>
      </w:tblPr>
      <w:tcPr>
        <w:tcBorders>
          <w:left w:val="single" w:color="48d45b" w:themeColor="accent3" w:themeTint="98" w:sz="4" w:space="0"/>
          <w:right w:val="single" w:color="48d45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8d45b"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3 - Accent 4"/>
    <w:basedOn w:val="797"/>
    <w:uiPriority w:val="99"/>
    <w:pPr>
      <w:pBdr/>
      <w:spacing/>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5fcaf3" w:themeColor="accent4" w:themeTint="9A" w:sz="4" w:space="0"/>
          <w:bottom w:val="single" w:color="5fcaf3" w:themeColor="accent4" w:themeTint="9A" w:sz="4" w:space="0"/>
        </w:tcBorders>
      </w:tcPr>
    </w:tblStylePr>
    <w:tblStylePr w:type="band1Vert">
      <w:rPr>
        <w:rFonts w:ascii="Arial" w:hAnsi="Arial"/>
        <w:color w:val="404040"/>
        <w:sz w:val="22"/>
      </w:rPr>
      <w:pPr>
        <w:pBdr/>
        <w:spacing/>
        <w:ind/>
      </w:pPr>
      <w:tblPr>
        <w:tblBorders/>
      </w:tblPr>
      <w:tcPr>
        <w:tcBorders>
          <w:left w:val="single" w:color="5fcaf3" w:themeColor="accent4" w:themeTint="9A" w:sz="4" w:space="0"/>
          <w:right w:val="single" w:color="5fcaf3"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3 - Accent 5"/>
    <w:basedOn w:val="797"/>
    <w:uiPriority w:val="99"/>
    <w:pPr>
      <w:pBdr/>
      <w:spacing/>
      <w:ind/>
    </w:pPr>
    <w:tblPr>
      <w:tblStyleRowBandSize w:val="1"/>
      <w:tblStyleColBandSize w:val="1"/>
      <w:tblBorders>
        <w:top w:val="single" w:color="d76ccb" w:themeColor="accent5" w:themeTint="9A" w:sz="4" w:space="0"/>
        <w:left w:val="single" w:color="d76ccb" w:themeColor="accent5" w:themeTint="9A" w:sz="4" w:space="0"/>
        <w:bottom w:val="single" w:color="d76ccb" w:themeColor="accent5" w:themeTint="9A" w:sz="4" w:space="0"/>
        <w:right w:val="single" w:color="d76cc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d76ccb" w:themeColor="accent5" w:themeTint="9A" w:sz="4" w:space="0"/>
          <w:bottom w:val="single" w:color="d76ccb" w:themeColor="accent5" w:themeTint="9A" w:sz="4" w:space="0"/>
        </w:tcBorders>
      </w:tcPr>
    </w:tblStylePr>
    <w:tblStylePr w:type="band1Vert">
      <w:rPr>
        <w:rFonts w:ascii="Arial" w:hAnsi="Arial"/>
        <w:color w:val="404040"/>
        <w:sz w:val="22"/>
      </w:rPr>
      <w:pPr>
        <w:pBdr/>
        <w:spacing/>
        <w:ind/>
      </w:pPr>
      <w:tblPr>
        <w:tblBorders/>
      </w:tblPr>
      <w:tcPr>
        <w:tcBorders>
          <w:left w:val="single" w:color="d76ccb" w:themeColor="accent5" w:themeTint="9A" w:sz="4" w:space="0"/>
          <w:right w:val="single" w:color="d76cc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76ccb" w:themeColor="accent5" w:themeTint="9A" w:fill="d76cc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3 - Accent 6"/>
    <w:basedOn w:val="797"/>
    <w:uiPriority w:val="99"/>
    <w:pPr>
      <w:pBdr/>
      <w:spacing/>
      <w:ind/>
    </w:pPr>
    <w:tblPr>
      <w:tblStyleRowBandSize w:val="1"/>
      <w:tblStyleColBandSize w:val="1"/>
      <w:tblBorders>
        <w:top w:val="single" w:color="8ed873" w:themeColor="accent6" w:themeTint="98" w:sz="4" w:space="0"/>
        <w:left w:val="single" w:color="8ed873" w:themeColor="accent6" w:themeTint="98" w:sz="4" w:space="0"/>
        <w:bottom w:val="single" w:color="8ed873" w:themeColor="accent6" w:themeTint="98" w:sz="4" w:space="0"/>
        <w:right w:val="single" w:color="8ed873"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8ed873" w:themeColor="accent6" w:themeTint="98" w:sz="4" w:space="0"/>
          <w:bottom w:val="single" w:color="8ed873" w:themeColor="accent6" w:themeTint="98" w:sz="4" w:space="0"/>
        </w:tcBorders>
      </w:tcPr>
    </w:tblStylePr>
    <w:tblStylePr w:type="band1Vert">
      <w:rPr>
        <w:rFonts w:ascii="Arial" w:hAnsi="Arial"/>
        <w:color w:val="404040"/>
        <w:sz w:val="22"/>
      </w:rPr>
      <w:pPr>
        <w:pBdr/>
        <w:spacing/>
        <w:ind/>
      </w:pPr>
      <w:tblPr>
        <w:tblBorders/>
      </w:tblPr>
      <w:tcPr>
        <w:tcBorders>
          <w:left w:val="single" w:color="8ed873" w:themeColor="accent6" w:themeTint="98" w:sz="4" w:space="0"/>
          <w:right w:val="single" w:color="8ed873"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ed873" w:themeColor="accent6" w:themeTint="98" w:fill="8ed873"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4"/>
    <w:basedOn w:val="797"/>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4 - Accent 1"/>
    <w:basedOn w:val="797"/>
    <w:uiPriority w:val="99"/>
    <w:pPr>
      <w:pBdr/>
      <w:spacing/>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4 - Accent 2"/>
    <w:basedOn w:val="797"/>
    <w:uiPriority w:val="99"/>
    <w:pPr>
      <w:pBdr/>
      <w:spacing/>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4 - Accent 3"/>
    <w:basedOn w:val="797"/>
    <w:uiPriority w:val="99"/>
    <w:pPr>
      <w:pBdr/>
      <w:spacing/>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4 - Accent 4"/>
    <w:basedOn w:val="797"/>
    <w:uiPriority w:val="99"/>
    <w:pPr>
      <w:pBdr/>
      <w:spacing/>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4 - Accent 5"/>
    <w:basedOn w:val="797"/>
    <w:uiPriority w:val="99"/>
    <w:pPr>
      <w:pBdr/>
      <w:spacing/>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4 - Accent 6"/>
    <w:basedOn w:val="797"/>
    <w:uiPriority w:val="99"/>
    <w:pPr>
      <w:pBdr/>
      <w:spacing/>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5 Dark"/>
    <w:basedOn w:val="797"/>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5 Dark - Accent 1"/>
    <w:basedOn w:val="797"/>
    <w:uiPriority w:val="99"/>
    <w:pPr>
      <w:pBdr/>
      <w:spacing/>
      <w:ind/>
    </w:pPr>
    <w:tblPr>
      <w:tblStyleRowBandSize w:val="1"/>
      <w:tblStyleColBandSize w:val="1"/>
      <w:tblBorders>
        <w:top w:val="single" w:color="156082" w:themeColor="accent1" w:sz="32" w:space="0"/>
        <w:left w:val="single" w:color="156082" w:themeColor="accent1" w:sz="32" w:space="0"/>
        <w:bottom w:val="single" w:color="156082" w:themeColor="accent1" w:sz="32" w:space="0"/>
        <w:right w:val="single" w:color="156082" w:themeColor="accent1" w:sz="32" w:space="0"/>
      </w:tblBorders>
      <w:shd w:val="clear" w:color="156082" w:themeColor="accent1" w:fill="156082" w:themeFill="accent1"/>
    </w:tblPr>
    <w:tcPr>
      <w:tcBorders/>
    </w:tcPr>
    <w:tblStylePr w:type="band1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156082" w:themeColor="accent1" w:fill="156082"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156082"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156082" w:themeColor="accent1" w:fill="156082" w:themeFill="accent1"/>
        <w:tcBorders>
          <w:top w:val="single" w:color="156082"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156082"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5 Dark - Accent 2"/>
    <w:basedOn w:val="797"/>
    <w:uiPriority w:val="99"/>
    <w:pPr>
      <w:pBdr/>
      <w:spacing/>
      <w:ind/>
    </w:pPr>
    <w:tblPr>
      <w:tblStyleRowBandSize w:val="1"/>
      <w:tblStyleColBandSize w:val="1"/>
      <w:tblBorders>
        <w:top w:val="single" w:color="f2aa85" w:themeColor="accent2" w:themeTint="97" w:sz="32" w:space="0"/>
        <w:left w:val="single" w:color="f2aa85" w:themeColor="accent2" w:themeTint="97" w:sz="32" w:space="0"/>
        <w:bottom w:val="single" w:color="f2aa85" w:themeColor="accent2" w:themeTint="97" w:sz="32" w:space="0"/>
        <w:right w:val="single" w:color="f2aa85" w:themeColor="accent2" w:themeTint="97" w:sz="32" w:space="0"/>
      </w:tblBorders>
      <w:shd w:val="clear" w:color="f2aa85" w:themeColor="accent2" w:themeTint="97" w:fill="f2aa85" w:themeFill="accent2" w:themeFillTint="97"/>
    </w:tblPr>
    <w:tcPr>
      <w:tcBorders/>
    </w:tcPr>
    <w:tblStylePr w:type="band1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2aa85" w:themeColor="accent2" w:themeTint="97" w:fill="f2aa8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2aa8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2aa85" w:themeColor="accent2" w:themeTint="97" w:fill="f2aa85" w:themeFill="accent2" w:themeFillTint="97"/>
        <w:tcBorders>
          <w:top w:val="single" w:color="f2aa8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2aa8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5 Dark - Accent 3"/>
    <w:basedOn w:val="797"/>
    <w:uiPriority w:val="99"/>
    <w:pPr>
      <w:pBdr/>
      <w:spacing/>
      <w:ind/>
    </w:pPr>
    <w:tblPr>
      <w:tblStyleRowBandSize w:val="1"/>
      <w:tblStyleColBandSize w:val="1"/>
      <w:tblBorders>
        <w:top w:val="single" w:color="48d45b" w:themeColor="accent3" w:themeTint="98" w:sz="32" w:space="0"/>
        <w:left w:val="single" w:color="48d45b" w:themeColor="accent3" w:themeTint="98" w:sz="32" w:space="0"/>
        <w:bottom w:val="single" w:color="48d45b" w:themeColor="accent3" w:themeTint="98" w:sz="32" w:space="0"/>
        <w:right w:val="single" w:color="48d45b" w:themeColor="accent3" w:themeTint="98" w:sz="32" w:space="0"/>
      </w:tblBorders>
      <w:shd w:val="clear" w:color="48d45b" w:themeColor="accent3" w:themeTint="98" w:fill="48d45b" w:themeFill="accent3" w:themeFillTint="98"/>
    </w:tblPr>
    <w:tcPr>
      <w:tcBorders/>
    </w:tcPr>
    <w:tblStylePr w:type="band1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48d45b" w:themeColor="accent3" w:themeTint="98" w:fill="48d45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8d45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8d45b" w:themeColor="accent3" w:themeTint="98" w:fill="48d45b" w:themeFill="accent3" w:themeFillTint="98"/>
        <w:tcBorders>
          <w:top w:val="single" w:color="48d45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8d45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st Table 5 Dark - Accent 4"/>
    <w:basedOn w:val="797"/>
    <w:uiPriority w:val="99"/>
    <w:pPr>
      <w:pBdr/>
      <w:spacing/>
      <w:ind/>
    </w:pPr>
    <w:tblPr>
      <w:tblStyleRowBandSize w:val="1"/>
      <w:tblStyleColBandSize w:val="1"/>
      <w:tblBorders>
        <w:top w:val="single" w:color="5fcaf3" w:themeColor="accent4" w:themeTint="9A" w:sz="32" w:space="0"/>
        <w:left w:val="single" w:color="5fcaf3" w:themeColor="accent4" w:themeTint="9A" w:sz="32" w:space="0"/>
        <w:bottom w:val="single" w:color="5fcaf3" w:themeColor="accent4" w:themeTint="9A" w:sz="32" w:space="0"/>
        <w:right w:val="single" w:color="5fcaf3" w:themeColor="accent4" w:themeTint="9A" w:sz="32" w:space="0"/>
      </w:tblBorders>
      <w:shd w:val="clear" w:color="5fcaf3" w:themeColor="accent4" w:themeTint="9A" w:fill="5fcaf3" w:themeFill="accent4" w:themeFillTint="9A"/>
    </w:tblPr>
    <w:tcPr>
      <w:tcBorders/>
    </w:tcPr>
    <w:tblStylePr w:type="band1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5fcaf3" w:themeColor="accent4" w:themeTint="9A" w:fill="5fcaf3"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fcaf3"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fcaf3" w:themeColor="accent4" w:themeTint="9A" w:fill="5fcaf3" w:themeFill="accent4" w:themeFillTint="9A"/>
        <w:tcBorders>
          <w:top w:val="single" w:color="5fcaf3"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fcaf3"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5 Dark - Accent 5"/>
    <w:basedOn w:val="797"/>
    <w:uiPriority w:val="99"/>
    <w:pPr>
      <w:pBdr/>
      <w:spacing/>
      <w:ind/>
    </w:pPr>
    <w:tblPr>
      <w:tblStyleRowBandSize w:val="1"/>
      <w:tblStyleColBandSize w:val="1"/>
      <w:tblBorders>
        <w:top w:val="single" w:color="d76ccb" w:themeColor="accent5" w:themeTint="9A" w:sz="32" w:space="0"/>
        <w:left w:val="single" w:color="d76ccb" w:themeColor="accent5" w:themeTint="9A" w:sz="32" w:space="0"/>
        <w:bottom w:val="single" w:color="d76ccb" w:themeColor="accent5" w:themeTint="9A" w:sz="32" w:space="0"/>
        <w:right w:val="single" w:color="d76ccb" w:themeColor="accent5" w:themeTint="9A" w:sz="32" w:space="0"/>
      </w:tblBorders>
      <w:shd w:val="clear" w:color="d76ccb" w:themeColor="accent5" w:themeTint="9A" w:fill="d76ccb" w:themeFill="accent5" w:themeFillTint="9A"/>
    </w:tblPr>
    <w:tcPr>
      <w:tcBorders/>
    </w:tcPr>
    <w:tblStylePr w:type="band1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d76ccb" w:themeColor="accent5" w:themeTint="9A" w:fill="d76cc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76cc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76ccb" w:themeColor="accent5" w:themeTint="9A" w:fill="d76ccb" w:themeFill="accent5" w:themeFillTint="9A"/>
        <w:tcBorders>
          <w:top w:val="single" w:color="d76cc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76cc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st Table 5 Dark - Accent 6"/>
    <w:basedOn w:val="797"/>
    <w:uiPriority w:val="99"/>
    <w:pPr>
      <w:pBdr/>
      <w:spacing/>
      <w:ind/>
    </w:pPr>
    <w:tblPr>
      <w:tblStyleRowBandSize w:val="1"/>
      <w:tblStyleColBandSize w:val="1"/>
      <w:tblBorders>
        <w:top w:val="single" w:color="8ed873" w:themeColor="accent6" w:themeTint="98" w:sz="32" w:space="0"/>
        <w:left w:val="single" w:color="8ed873" w:themeColor="accent6" w:themeTint="98" w:sz="32" w:space="0"/>
        <w:bottom w:val="single" w:color="8ed873" w:themeColor="accent6" w:themeTint="98" w:sz="32" w:space="0"/>
        <w:right w:val="single" w:color="8ed873" w:themeColor="accent6" w:themeTint="98" w:sz="32" w:space="0"/>
      </w:tblBorders>
      <w:shd w:val="clear" w:color="8ed873" w:themeColor="accent6" w:themeTint="98" w:fill="8ed873" w:themeFill="accent6" w:themeFillTint="98"/>
    </w:tblPr>
    <w:tcPr>
      <w:tcBorders/>
    </w:tcPr>
    <w:tblStylePr w:type="band1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8ed873" w:themeColor="accent6" w:themeTint="98" w:fill="8ed873"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ed873"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ed873" w:themeColor="accent6" w:themeTint="98" w:fill="8ed873" w:themeFill="accent6" w:themeFillTint="98"/>
        <w:tcBorders>
          <w:top w:val="single" w:color="8ed873"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ed873"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6 Colorful"/>
    <w:basedOn w:val="797"/>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st Table 6 Colorful - Accent 1"/>
    <w:basedOn w:val="797"/>
    <w:uiPriority w:val="99"/>
    <w:pPr>
      <w:pBdr/>
      <w:spacing/>
      <w:ind/>
    </w:pPr>
    <w:tblPr>
      <w:tblStyleRowBandSize w:val="1"/>
      <w:tblStyleColBandSize w:val="1"/>
      <w:tblBorders>
        <w:top w:val="single" w:color="156082" w:themeColor="accent1" w:sz="4" w:space="0"/>
        <w:bottom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74b" w:themeColor="accent1" w:themeShade="95"/>
      </w:rPr>
      <w:pPr>
        <w:pBdr/>
        <w:spacing/>
        <w:ind/>
      </w:pPr>
      <w:tblPr>
        <w:tblBorders/>
      </w:tblPr>
      <w:tcPr>
        <w:tcBorders/>
      </w:tcPr>
    </w:tblStylePr>
    <w:tblStylePr w:type="firstRow">
      <w:rPr>
        <w:b/>
        <w:color w:val="0c374b" w:themeColor="accent1" w:themeShade="95"/>
      </w:rPr>
      <w:pPr>
        <w:pBdr/>
        <w:spacing/>
        <w:ind/>
      </w:pPr>
      <w:tblPr>
        <w:tblBorders/>
      </w:tblPr>
      <w:tcPr>
        <w:tcBorders>
          <w:bottom w:val="single" w:color="156082" w:themeColor="accent1" w:sz="4" w:space="0"/>
        </w:tcBorders>
      </w:tcPr>
    </w:tblStylePr>
    <w:tblStylePr w:type="lastCol">
      <w:rPr>
        <w:b/>
        <w:color w:val="0c374b" w:themeColor="accent1" w:themeShade="95"/>
      </w:rPr>
      <w:pPr>
        <w:pBdr/>
        <w:spacing/>
        <w:ind/>
      </w:pPr>
      <w:tblPr>
        <w:tblBorders/>
      </w:tblPr>
      <w:tcPr>
        <w:tcBorders/>
      </w:tcPr>
    </w:tblStylePr>
    <w:tblStylePr w:type="lastRow">
      <w:rPr>
        <w:b/>
        <w:color w:val="0c374b" w:themeColor="accent1" w:themeShade="95"/>
      </w:rPr>
      <w:pPr>
        <w:pBdr/>
        <w:spacing/>
        <w:ind/>
      </w:pPr>
      <w:tblPr>
        <w:tblBorders/>
      </w:tblPr>
      <w:tcPr>
        <w:tcBorders>
          <w:top w:val="single" w:color="156082"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st Table 6 Colorful - Accent 2"/>
    <w:basedOn w:val="797"/>
    <w:uiPriority w:val="99"/>
    <w:pPr>
      <w:pBdr/>
      <w:spacing/>
      <w:ind/>
    </w:pPr>
    <w:tblPr>
      <w:tblStyleRowBandSize w:val="1"/>
      <w:tblStyleColBandSize w:val="1"/>
      <w:tblBorders>
        <w:top w:val="single" w:color="f2aa85" w:themeColor="accent2" w:themeTint="97" w:sz="4" w:space="0"/>
        <w:bottom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4"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st Table 6 Colorful - Accent 3"/>
    <w:basedOn w:val="797"/>
    <w:uiPriority w:val="99"/>
    <w:pPr>
      <w:pBdr/>
      <w:spacing/>
      <w:ind/>
    </w:pPr>
    <w:tblPr>
      <w:tblStyleRowBandSize w:val="1"/>
      <w:tblStyleColBandSize w:val="1"/>
      <w:tblBorders>
        <w:top w:val="single" w:color="48d45b" w:themeColor="accent3" w:themeTint="98" w:sz="4" w:space="0"/>
        <w:bottom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8d45b" w:themeColor="accent3" w:themeTint="98" w:themeShade="95"/>
      </w:rPr>
      <w:pPr>
        <w:pBdr/>
        <w:spacing/>
        <w:ind/>
      </w:pPr>
      <w:tblPr>
        <w:tblBorders/>
      </w:tblPr>
      <w:tcPr>
        <w:tcBorders/>
      </w:tcPr>
    </w:tblStylePr>
    <w:tblStylePr w:type="firstRow">
      <w:rPr>
        <w:b/>
        <w:color w:val="48d45b" w:themeColor="accent3" w:themeTint="98" w:themeShade="95"/>
      </w:rPr>
      <w:pPr>
        <w:pBdr/>
        <w:spacing/>
        <w:ind/>
      </w:pPr>
      <w:tblPr>
        <w:tblBorders/>
      </w:tblPr>
      <w:tcPr>
        <w:tcBorders>
          <w:bottom w:val="single" w:color="48d45b" w:themeColor="accent3" w:themeTint="98" w:sz="4" w:space="0"/>
        </w:tcBorders>
      </w:tcPr>
    </w:tblStylePr>
    <w:tblStylePr w:type="lastCol">
      <w:rPr>
        <w:b/>
        <w:color w:val="48d45b" w:themeColor="accent3" w:themeTint="98" w:themeShade="95"/>
      </w:rPr>
      <w:pPr>
        <w:pBdr/>
        <w:spacing/>
        <w:ind/>
      </w:pPr>
      <w:tblPr>
        <w:tblBorders/>
      </w:tblPr>
      <w:tcPr>
        <w:tcBorders/>
      </w:tcPr>
    </w:tblStylePr>
    <w:tblStylePr w:type="lastRow">
      <w:rPr>
        <w:b/>
        <w:color w:val="48d45b" w:themeColor="accent3" w:themeTint="98" w:themeShade="95"/>
      </w:rPr>
      <w:pPr>
        <w:pBdr/>
        <w:spacing/>
        <w:ind/>
      </w:pPr>
      <w:tblPr>
        <w:tblBorders/>
      </w:tblPr>
      <w:tcPr>
        <w:tcBorders>
          <w:top w:val="single" w:color="48d45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List Table 6 Colorful - Accent 4"/>
    <w:basedOn w:val="797"/>
    <w:uiPriority w:val="99"/>
    <w:pPr>
      <w:pBdr/>
      <w:spacing/>
      <w:ind/>
    </w:pPr>
    <w:tblPr>
      <w:tblStyleRowBandSize w:val="1"/>
      <w:tblStyleColBandSize w:val="1"/>
      <w:tblBorders>
        <w:top w:val="single" w:color="5fcaf3" w:themeColor="accent4" w:themeTint="9A" w:sz="4" w:space="0"/>
        <w:bottom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4"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st Table 6 Colorful - Accent 5"/>
    <w:basedOn w:val="797"/>
    <w:uiPriority w:val="99"/>
    <w:pPr>
      <w:pBdr/>
      <w:spacing/>
      <w:ind/>
    </w:pPr>
    <w:tblPr>
      <w:tblStyleRowBandSize w:val="1"/>
      <w:tblStyleColBandSize w:val="1"/>
      <w:tblBorders>
        <w:top w:val="single" w:color="d76ccb" w:themeColor="accent5" w:themeTint="9A" w:sz="4" w:space="0"/>
        <w:bottom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76ccb" w:themeColor="accent5" w:themeTint="9A" w:themeShade="95"/>
      </w:rPr>
      <w:pPr>
        <w:pBdr/>
        <w:spacing/>
        <w:ind/>
      </w:pPr>
      <w:tblPr>
        <w:tblBorders/>
      </w:tblPr>
      <w:tcPr>
        <w:tcBorders/>
      </w:tcPr>
    </w:tblStylePr>
    <w:tblStylePr w:type="firstRow">
      <w:rPr>
        <w:b/>
        <w:color w:val="d76ccb" w:themeColor="accent5" w:themeTint="9A" w:themeShade="95"/>
      </w:rPr>
      <w:pPr>
        <w:pBdr/>
        <w:spacing/>
        <w:ind/>
      </w:pPr>
      <w:tblPr>
        <w:tblBorders/>
      </w:tblPr>
      <w:tcPr>
        <w:tcBorders>
          <w:bottom w:val="single" w:color="d76ccb" w:themeColor="accent5" w:themeTint="9A" w:sz="4" w:space="0"/>
        </w:tcBorders>
      </w:tcPr>
    </w:tblStylePr>
    <w:tblStylePr w:type="lastCol">
      <w:rPr>
        <w:b/>
        <w:color w:val="d76ccb" w:themeColor="accent5" w:themeTint="9A" w:themeShade="95"/>
      </w:rPr>
      <w:pPr>
        <w:pBdr/>
        <w:spacing/>
        <w:ind/>
      </w:pPr>
      <w:tblPr>
        <w:tblBorders/>
      </w:tblPr>
      <w:tcPr>
        <w:tcBorders/>
      </w:tcPr>
    </w:tblStylePr>
    <w:tblStylePr w:type="lastRow">
      <w:rPr>
        <w:b/>
        <w:color w:val="d76ccb" w:themeColor="accent5" w:themeTint="9A" w:themeShade="95"/>
      </w:rPr>
      <w:pPr>
        <w:pBdr/>
        <w:spacing/>
        <w:ind/>
      </w:pPr>
      <w:tblPr>
        <w:tblBorders/>
      </w:tblPr>
      <w:tcPr>
        <w:tcBorders>
          <w:top w:val="single" w:color="d76cc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6 Colorful - Accent 6"/>
    <w:basedOn w:val="797"/>
    <w:uiPriority w:val="99"/>
    <w:pPr>
      <w:pBdr/>
      <w:spacing/>
      <w:ind/>
    </w:pPr>
    <w:tblPr>
      <w:tblStyleRowBandSize w:val="1"/>
      <w:tblStyleColBandSize w:val="1"/>
      <w:tblBorders>
        <w:top w:val="single" w:color="8ed873" w:themeColor="accent6" w:themeTint="98" w:sz="4" w:space="0"/>
        <w:bottom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ed873" w:themeColor="accent6" w:themeTint="98" w:themeShade="95"/>
      </w:rPr>
      <w:pPr>
        <w:pBdr/>
        <w:spacing/>
        <w:ind/>
      </w:pPr>
      <w:tblPr>
        <w:tblBorders/>
      </w:tblPr>
      <w:tcPr>
        <w:tcBorders/>
      </w:tcPr>
    </w:tblStylePr>
    <w:tblStylePr w:type="firstRow">
      <w:rPr>
        <w:b/>
        <w:color w:val="8ed873" w:themeColor="accent6" w:themeTint="98" w:themeShade="95"/>
      </w:rPr>
      <w:pPr>
        <w:pBdr/>
        <w:spacing/>
        <w:ind/>
      </w:pPr>
      <w:tblPr>
        <w:tblBorders/>
      </w:tblPr>
      <w:tcPr>
        <w:tcBorders>
          <w:bottom w:val="single" w:color="8ed873" w:themeColor="accent6" w:themeTint="98" w:sz="4" w:space="0"/>
        </w:tcBorders>
      </w:tcPr>
    </w:tblStylePr>
    <w:tblStylePr w:type="lastCol">
      <w:rPr>
        <w:b/>
        <w:color w:val="8ed873" w:themeColor="accent6" w:themeTint="98" w:themeShade="95"/>
      </w:rPr>
      <w:pPr>
        <w:pBdr/>
        <w:spacing/>
        <w:ind/>
      </w:pPr>
      <w:tblPr>
        <w:tblBorders/>
      </w:tblPr>
      <w:tcPr>
        <w:tcBorders/>
      </w:tcPr>
    </w:tblStylePr>
    <w:tblStylePr w:type="lastRow">
      <w:rPr>
        <w:b/>
        <w:color w:val="8ed873" w:themeColor="accent6" w:themeTint="98" w:themeShade="95"/>
      </w:rPr>
      <w:pPr>
        <w:pBdr/>
        <w:spacing/>
        <w:ind/>
      </w:pPr>
      <w:tblPr>
        <w:tblBorders/>
      </w:tblPr>
      <w:tcPr>
        <w:tcBorders>
          <w:top w:val="single" w:color="8ed873"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7 Colorful"/>
    <w:basedOn w:val="797"/>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st Table 7 Colorful - Accent 1"/>
    <w:basedOn w:val="797"/>
    <w:uiPriority w:val="99"/>
    <w:pPr>
      <w:pBdr/>
      <w:spacing/>
      <w:ind/>
    </w:pPr>
    <w:tblPr>
      <w:tblStyleRowBandSize w:val="1"/>
      <w:tblStyleColBandSize w:val="1"/>
      <w:tblBorders>
        <w:right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74b"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56082" w:themeColor="accent1" w:sz="4" w:space="0"/>
        </w:tcBorders>
      </w:tcPr>
    </w:tblStylePr>
    <w:tblStylePr w:type="firstRow">
      <w:rPr>
        <w:rFonts w:ascii="Arial" w:hAnsi="Arial"/>
        <w:i/>
        <w:color w:val="0c374b"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56082" w:themeColor="accent1" w:sz="4" w:space="0"/>
          <w:right w:val="none" w:color="000000" w:sz="4" w:space="0"/>
        </w:tcBorders>
      </w:tcPr>
    </w:tblStylePr>
    <w:tblStylePr w:type="lastCol">
      <w:rPr>
        <w:rFonts w:ascii="Arial" w:hAnsi="Arial"/>
        <w:i/>
        <w:color w:val="0c374b" w:themeColor="accent1" w:themeShade="95"/>
        <w:sz w:val="22"/>
      </w:rPr>
      <w:pPr>
        <w:pBdr/>
        <w:spacing/>
        <w:ind/>
      </w:pPr>
      <w:tblPr>
        <w:tblBorders/>
      </w:tblPr>
      <w:tcPr>
        <w:shd w:val="clear" w:color="ffffff" w:fill="auto"/>
        <w:tcBorders>
          <w:top w:val="none" w:color="000000" w:sz="4" w:space="0"/>
          <w:left w:val="single" w:color="156082" w:themeColor="accent1" w:sz="4" w:space="0"/>
          <w:bottom w:val="none" w:color="000000" w:sz="4" w:space="0"/>
          <w:right w:val="none" w:color="000000" w:sz="4" w:space="0"/>
        </w:tcBorders>
      </w:tcPr>
    </w:tblStylePr>
    <w:tblStylePr w:type="lastRow">
      <w:rPr>
        <w:rFonts w:ascii="Arial" w:hAnsi="Arial"/>
        <w:i/>
        <w:color w:val="0c374b" w:themeColor="accent1" w:themeShade="95"/>
        <w:sz w:val="22"/>
      </w:rPr>
      <w:pPr>
        <w:pBdr/>
        <w:spacing/>
        <w:ind/>
      </w:pPr>
      <w:tblPr>
        <w:tblBorders/>
      </w:tblPr>
      <w:tcPr>
        <w:shd w:val="clear" w:color="ffffff" w:themeColor="light1" w:fill="ffffff" w:themeFill="light1"/>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7 Colorful - Accent 2"/>
    <w:basedOn w:val="797"/>
    <w:uiPriority w:val="99"/>
    <w:pPr>
      <w:pBdr/>
      <w:spacing/>
      <w:ind/>
    </w:pPr>
    <w:tblPr>
      <w:tblStyleRowBandSize w:val="1"/>
      <w:tblStyleColBandSize w:val="1"/>
      <w:tblBorders>
        <w:right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7 Colorful - Accent 3"/>
    <w:basedOn w:val="797"/>
    <w:uiPriority w:val="99"/>
    <w:pPr>
      <w:pBdr/>
      <w:spacing/>
      <w:ind/>
    </w:pPr>
    <w:tblPr>
      <w:tblStyleRowBandSize w:val="1"/>
      <w:tblStyleColBandSize w:val="1"/>
      <w:tblBorders>
        <w:right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8d45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8d45b" w:themeColor="accent3" w:themeTint="98" w:sz="4" w:space="0"/>
        </w:tcBorders>
      </w:tcPr>
    </w:tblStylePr>
    <w:tblStylePr w:type="fir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8d45b" w:themeColor="accent3" w:themeTint="98" w:sz="4" w:space="0"/>
          <w:right w:val="none" w:color="000000" w:sz="4" w:space="0"/>
        </w:tcBorders>
      </w:tcPr>
    </w:tblStylePr>
    <w:tblStylePr w:type="lastCol">
      <w:rPr>
        <w:rFonts w:ascii="Arial" w:hAnsi="Arial"/>
        <w:i/>
        <w:color w:val="48d45b" w:themeColor="accent3" w:themeTint="98" w:themeShade="95"/>
        <w:sz w:val="22"/>
      </w:rPr>
      <w:pPr>
        <w:pBdr/>
        <w:spacing/>
        <w:ind/>
      </w:pPr>
      <w:tblPr>
        <w:tblBorders/>
      </w:tblPr>
      <w:tcPr>
        <w:shd w:val="clear" w:color="ffffff" w:fill="auto"/>
        <w:tcBorders>
          <w:top w:val="none" w:color="000000" w:sz="4" w:space="0"/>
          <w:left w:val="single" w:color="48d45b" w:themeColor="accent3" w:themeTint="98" w:sz="4" w:space="0"/>
          <w:bottom w:val="none" w:color="000000" w:sz="4" w:space="0"/>
          <w:right w:val="none" w:color="000000" w:sz="4" w:space="0"/>
        </w:tcBorders>
      </w:tcPr>
    </w:tblStylePr>
    <w:tblStylePr w:type="la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single" w:color="48d45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List Table 7 Colorful - Accent 4"/>
    <w:basedOn w:val="797"/>
    <w:uiPriority w:val="99"/>
    <w:pPr>
      <w:pBdr/>
      <w:spacing/>
      <w:ind/>
    </w:pPr>
    <w:tblPr>
      <w:tblStyleRowBandSize w:val="1"/>
      <w:tblStyleColBandSize w:val="1"/>
      <w:tblBorders>
        <w:right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st Table 7 Colorful - Accent 5"/>
    <w:basedOn w:val="797"/>
    <w:uiPriority w:val="99"/>
    <w:pPr>
      <w:pBdr/>
      <w:spacing/>
      <w:ind/>
    </w:pPr>
    <w:tblPr>
      <w:tblStyleRowBandSize w:val="1"/>
      <w:tblStyleColBandSize w:val="1"/>
      <w:tblBorders>
        <w:right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76cc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76ccb" w:themeColor="accent5" w:themeTint="9A" w:sz="4" w:space="0"/>
        </w:tcBorders>
      </w:tcPr>
    </w:tblStylePr>
    <w:tblStylePr w:type="fir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76ccb" w:themeColor="accent5" w:themeTint="9A" w:sz="4" w:space="0"/>
          <w:right w:val="none" w:color="000000" w:sz="4" w:space="0"/>
        </w:tcBorders>
      </w:tcPr>
    </w:tblStylePr>
    <w:tblStylePr w:type="lastCol">
      <w:rPr>
        <w:rFonts w:ascii="Arial" w:hAnsi="Arial"/>
        <w:i/>
        <w:color w:val="d76ccb" w:themeColor="accent5" w:themeTint="9A" w:themeShade="95"/>
        <w:sz w:val="22"/>
      </w:rPr>
      <w:pPr>
        <w:pBdr/>
        <w:spacing/>
        <w:ind/>
      </w:pPr>
      <w:tblPr>
        <w:tblBorders/>
      </w:tblPr>
      <w:tcPr>
        <w:shd w:val="clear" w:color="ffffff" w:fill="auto"/>
        <w:tcBorders>
          <w:top w:val="none" w:color="000000" w:sz="4" w:space="0"/>
          <w:left w:val="single" w:color="d76ccb" w:themeColor="accent5" w:themeTint="9A" w:sz="4" w:space="0"/>
          <w:bottom w:val="none" w:color="000000" w:sz="4" w:space="0"/>
          <w:right w:val="none" w:color="000000" w:sz="4" w:space="0"/>
        </w:tcBorders>
      </w:tcPr>
    </w:tblStylePr>
    <w:tblStylePr w:type="la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single" w:color="d76cc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7 Colorful - Accent 6"/>
    <w:basedOn w:val="797"/>
    <w:uiPriority w:val="99"/>
    <w:pPr>
      <w:pBdr/>
      <w:spacing/>
      <w:ind/>
    </w:pPr>
    <w:tblPr>
      <w:tblStyleRowBandSize w:val="1"/>
      <w:tblStyleColBandSize w:val="1"/>
      <w:tblBorders>
        <w:right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ed873"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ed873" w:themeColor="accent6" w:themeTint="98" w:sz="4" w:space="0"/>
        </w:tcBorders>
      </w:tcPr>
    </w:tblStylePr>
    <w:tblStylePr w:type="fir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ed873" w:themeColor="accent6" w:themeTint="98" w:sz="4" w:space="0"/>
          <w:right w:val="none" w:color="000000" w:sz="4" w:space="0"/>
        </w:tcBorders>
      </w:tcPr>
    </w:tblStylePr>
    <w:tblStylePr w:type="lastCol">
      <w:rPr>
        <w:rFonts w:ascii="Arial" w:hAnsi="Arial"/>
        <w:i/>
        <w:color w:val="8ed873" w:themeColor="accent6" w:themeTint="98" w:themeShade="95"/>
        <w:sz w:val="22"/>
      </w:rPr>
      <w:pPr>
        <w:pBdr/>
        <w:spacing/>
        <w:ind/>
      </w:pPr>
      <w:tblPr>
        <w:tblBorders/>
      </w:tblPr>
      <w:tcPr>
        <w:shd w:val="clear" w:color="ffffff" w:fill="auto"/>
        <w:tcBorders>
          <w:top w:val="none" w:color="000000" w:sz="4" w:space="0"/>
          <w:left w:val="single" w:color="8ed873" w:themeColor="accent6" w:themeTint="98" w:sz="4" w:space="0"/>
          <w:bottom w:val="none" w:color="000000" w:sz="4" w:space="0"/>
          <w:right w:val="none" w:color="000000" w:sz="4" w:space="0"/>
        </w:tcBorders>
      </w:tcPr>
    </w:tblStylePr>
    <w:tblStylePr w:type="la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single" w:color="8ed873"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ned - Accent"/>
    <w:basedOn w:val="79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ned - Accent 1"/>
    <w:basedOn w:val="79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ned - Accent 2"/>
    <w:basedOn w:val="79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ned - Accent 3"/>
    <w:basedOn w:val="79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Lined - Accent 4"/>
    <w:basedOn w:val="79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ned - Accent 5"/>
    <w:basedOn w:val="79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ned - Accent 6"/>
    <w:basedOn w:val="797"/>
    <w:uiPriority w:val="99"/>
    <w:pPr>
      <w:pBdr/>
      <w:spacing/>
      <w:ind/>
    </w:pPr>
    <w:rPr>
      <w:color w:val="404040"/>
      <w:sz w:val="20"/>
      <w:szCs w:val="2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Bordered &amp; Lined - Accent"/>
    <w:basedOn w:val="797"/>
    <w:uiPriority w:val="99"/>
    <w:pPr>
      <w:pBdr/>
      <w:spacing/>
      <w:ind/>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Bordered &amp; Lined - Accent 1"/>
    <w:basedOn w:val="797"/>
    <w:uiPriority w:val="99"/>
    <w:pPr>
      <w:pBdr/>
      <w:spacing/>
      <w:ind/>
    </w:pPr>
    <w:rPr>
      <w:color w:val="404040"/>
      <w:sz w:val="20"/>
      <w:szCs w:val="20"/>
    </w:rPr>
    <w:tblPr>
      <w:tblStyleRowBandSize w:val="1"/>
      <w:tblStyleColBandSize w:val="1"/>
      <w:tblBorders>
        <w:top w:val="single" w:color="0c374b" w:themeColor="accent1" w:themeShade="95" w:sz="4" w:space="0"/>
        <w:left w:val="single" w:color="0c374b" w:themeColor="accent1" w:themeShade="95" w:sz="4" w:space="0"/>
        <w:bottom w:val="single" w:color="0c374b" w:themeColor="accent1" w:themeShade="95" w:sz="4" w:space="0"/>
        <w:right w:val="single" w:color="0c374b" w:themeColor="accent1" w:themeShade="95" w:sz="4" w:space="0"/>
        <w:insideH w:val="single" w:color="0c374b" w:themeColor="accent1" w:themeShade="95" w:sz="4" w:space="0"/>
        <w:insideV w:val="single" w:color="0c374b"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Bordered &amp; Lined - Accent 2"/>
    <w:basedOn w:val="797"/>
    <w:uiPriority w:val="99"/>
    <w:pPr>
      <w:pBdr/>
      <w:spacing/>
      <w:ind/>
    </w:pPr>
    <w:rPr>
      <w:color w:val="404040"/>
      <w:sz w:val="20"/>
      <w:szCs w:val="20"/>
    </w:rPr>
    <w:tblPr>
      <w:tblStyleRowBandSize w:val="1"/>
      <w:tblStyleColBandSize w:val="1"/>
      <w:tblBorders>
        <w:top w:val="single" w:color="953d10" w:themeColor="accent2" w:themeShade="95" w:sz="4" w:space="0"/>
        <w:left w:val="single" w:color="953d10" w:themeColor="accent2" w:themeShade="95" w:sz="4" w:space="0"/>
        <w:bottom w:val="single" w:color="953d10" w:themeColor="accent2" w:themeShade="95" w:sz="4" w:space="0"/>
        <w:right w:val="single" w:color="953d10" w:themeColor="accent2" w:themeShade="95" w:sz="4" w:space="0"/>
        <w:insideH w:val="single" w:color="953d10" w:themeColor="accent2" w:themeShade="95" w:sz="4" w:space="0"/>
        <w:insideV w:val="single" w:color="953d1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Bordered &amp; Lined - Accent 3"/>
    <w:basedOn w:val="797"/>
    <w:uiPriority w:val="99"/>
    <w:pPr>
      <w:pBdr/>
      <w:spacing/>
      <w:ind/>
    </w:pPr>
    <w:rPr>
      <w:color w:val="404040"/>
      <w:sz w:val="20"/>
      <w:szCs w:val="20"/>
    </w:rPr>
    <w:tblPr>
      <w:tblStyleRowBandSize w:val="1"/>
      <w:tblStyleColBandSize w:val="1"/>
      <w:tblBorders>
        <w:top w:val="single" w:color="0e3e15" w:themeColor="accent3" w:themeShade="95" w:sz="4" w:space="0"/>
        <w:left w:val="single" w:color="0e3e15" w:themeColor="accent3" w:themeShade="95" w:sz="4" w:space="0"/>
        <w:bottom w:val="single" w:color="0e3e15" w:themeColor="accent3" w:themeShade="95" w:sz="4" w:space="0"/>
        <w:right w:val="single" w:color="0e3e15" w:themeColor="accent3" w:themeShade="95" w:sz="4" w:space="0"/>
        <w:insideH w:val="single" w:color="0e3e15" w:themeColor="accent3" w:themeShade="95" w:sz="4" w:space="0"/>
        <w:insideV w:val="single" w:color="0e3e15"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Bordered &amp; Lined - Accent 4"/>
    <w:basedOn w:val="797"/>
    <w:uiPriority w:val="99"/>
    <w:pPr>
      <w:pBdr/>
      <w:spacing/>
      <w:ind/>
    </w:pPr>
    <w:rPr>
      <w:color w:val="404040"/>
      <w:sz w:val="20"/>
      <w:szCs w:val="20"/>
    </w:rPr>
    <w:tblPr>
      <w:tblStyleRowBandSize w:val="1"/>
      <w:tblStyleColBandSize w:val="1"/>
      <w:tblBorders>
        <w:top w:val="single" w:color="085c7c" w:themeColor="accent4" w:themeShade="95" w:sz="4" w:space="0"/>
        <w:left w:val="single" w:color="085c7c" w:themeColor="accent4" w:themeShade="95" w:sz="4" w:space="0"/>
        <w:bottom w:val="single" w:color="085c7c" w:themeColor="accent4" w:themeShade="95" w:sz="4" w:space="0"/>
        <w:right w:val="single" w:color="085c7c" w:themeColor="accent4" w:themeShade="95" w:sz="4" w:space="0"/>
        <w:insideH w:val="single" w:color="085c7c" w:themeColor="accent4" w:themeShade="95" w:sz="4" w:space="0"/>
        <w:insideV w:val="single" w:color="085c7c"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Bordered &amp; Lined - Accent 5"/>
    <w:basedOn w:val="797"/>
    <w:uiPriority w:val="99"/>
    <w:pPr>
      <w:pBdr/>
      <w:spacing/>
      <w:ind/>
    </w:pPr>
    <w:rPr>
      <w:color w:val="404040"/>
      <w:sz w:val="20"/>
      <w:szCs w:val="20"/>
    </w:rPr>
    <w:tblPr>
      <w:tblStyleRowBandSize w:val="1"/>
      <w:tblStyleColBandSize w:val="1"/>
      <w:tblBorders>
        <w:top w:val="single" w:color="5d1955" w:themeColor="accent5" w:themeShade="95" w:sz="4" w:space="0"/>
        <w:left w:val="single" w:color="5d1955" w:themeColor="accent5" w:themeShade="95" w:sz="4" w:space="0"/>
        <w:bottom w:val="single" w:color="5d1955" w:themeColor="accent5" w:themeShade="95" w:sz="4" w:space="0"/>
        <w:right w:val="single" w:color="5d1955" w:themeColor="accent5" w:themeShade="95" w:sz="4" w:space="0"/>
        <w:insideH w:val="single" w:color="5d1955" w:themeColor="accent5" w:themeShade="95" w:sz="4" w:space="0"/>
        <w:insideV w:val="single" w:color="5d195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Bordered &amp; Lined - Accent 6"/>
    <w:basedOn w:val="797"/>
    <w:uiPriority w:val="99"/>
    <w:pPr>
      <w:pBdr/>
      <w:spacing/>
      <w:ind/>
    </w:pPr>
    <w:rPr>
      <w:color w:val="404040"/>
      <w:sz w:val="20"/>
      <w:szCs w:val="20"/>
    </w:rPr>
    <w:tblPr>
      <w:tblStyleRowBandSize w:val="1"/>
      <w:tblStyleColBandSize w:val="1"/>
      <w:tblBorders>
        <w:top w:val="single" w:color="2d611b" w:themeColor="accent6" w:themeShade="95" w:sz="4" w:space="0"/>
        <w:left w:val="single" w:color="2d611b" w:themeColor="accent6" w:themeShade="95" w:sz="4" w:space="0"/>
        <w:bottom w:val="single" w:color="2d611b" w:themeColor="accent6" w:themeShade="95" w:sz="4" w:space="0"/>
        <w:right w:val="single" w:color="2d611b" w:themeColor="accent6" w:themeShade="95" w:sz="4" w:space="0"/>
        <w:insideH w:val="single" w:color="2d611b" w:themeColor="accent6" w:themeShade="95" w:sz="4" w:space="0"/>
        <w:insideV w:val="single" w:color="2d611b"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Bordered"/>
    <w:basedOn w:val="797"/>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Bordered - Accent 1"/>
    <w:basedOn w:val="797"/>
    <w:uiPriority w:val="99"/>
    <w:pPr>
      <w:pBdr/>
      <w:spacing/>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156082" w:themeColor="accent1" w:sz="12" w:space="0"/>
        </w:tcBorders>
      </w:tcPr>
    </w:tblStylePr>
    <w:tblStylePr w:type="lastCol">
      <w:rPr>
        <w:rFonts w:ascii="Arial" w:hAnsi="Arial"/>
        <w:color w:val="404040"/>
        <w:sz w:val="22"/>
      </w:rPr>
      <w:pPr>
        <w:pBdr/>
        <w:spacing/>
        <w:ind/>
      </w:pPr>
      <w:tblPr>
        <w:tblBorders/>
      </w:tblPr>
      <w:tcPr>
        <w:tcBorders>
          <w:left w:val="single" w:color="156082" w:themeColor="accent1" w:sz="12" w:space="0"/>
        </w:tcBorders>
      </w:tcPr>
    </w:tblStylePr>
    <w:tblStylePr w:type="lastRow">
      <w:rPr>
        <w:rFonts w:ascii="Arial" w:hAnsi="Arial"/>
        <w:color w:val="404040"/>
        <w:sz w:val="22"/>
      </w:rPr>
      <w:pPr>
        <w:pBdr/>
        <w:spacing/>
        <w:ind/>
      </w:pPr>
      <w:tblPr>
        <w:tblBorders/>
      </w:tblPr>
      <w:tcPr>
        <w:tcBorders>
          <w:top w:val="single" w:color="156082"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Bordered - Accent 2"/>
    <w:basedOn w:val="797"/>
    <w:uiPriority w:val="99"/>
    <w:pPr>
      <w:pBdr/>
      <w:spacing/>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2aa85" w:themeColor="accent2" w:themeTint="97" w:sz="12" w:space="0"/>
        </w:tcBorders>
      </w:tcPr>
    </w:tblStylePr>
    <w:tblStylePr w:type="lastCol">
      <w:rPr>
        <w:rFonts w:ascii="Arial" w:hAnsi="Arial"/>
        <w:color w:val="404040"/>
        <w:sz w:val="22"/>
      </w:rPr>
      <w:pPr>
        <w:pBdr/>
        <w:spacing/>
        <w:ind/>
      </w:pPr>
      <w:tblPr>
        <w:tblBorders/>
      </w:tblPr>
      <w:tcPr>
        <w:tcBorders>
          <w:left w:val="single" w:color="f2aa85" w:themeColor="accent2" w:themeTint="97" w:sz="12" w:space="0"/>
        </w:tcBorders>
      </w:tcPr>
    </w:tblStylePr>
    <w:tblStylePr w:type="lastRow">
      <w:rPr>
        <w:rFonts w:ascii="Arial" w:hAnsi="Arial"/>
        <w:color w:val="404040"/>
        <w:sz w:val="22"/>
      </w:rPr>
      <w:pPr>
        <w:pBdr/>
        <w:spacing/>
        <w:ind/>
      </w:pPr>
      <w:tblPr>
        <w:tblBorders/>
      </w:tblPr>
      <w:tcPr>
        <w:tcBorders>
          <w:top w:val="single" w:color="f2aa8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Bordered - Accent 3"/>
    <w:basedOn w:val="797"/>
    <w:uiPriority w:val="99"/>
    <w:pPr>
      <w:pBdr/>
      <w:spacing/>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8d45b" w:themeColor="accent3" w:themeTint="98" w:sz="12" w:space="0"/>
        </w:tcBorders>
      </w:tcPr>
    </w:tblStylePr>
    <w:tblStylePr w:type="lastCol">
      <w:rPr>
        <w:rFonts w:ascii="Arial" w:hAnsi="Arial"/>
        <w:color w:val="404040"/>
        <w:sz w:val="22"/>
      </w:rPr>
      <w:pPr>
        <w:pBdr/>
        <w:spacing/>
        <w:ind/>
      </w:pPr>
      <w:tblPr>
        <w:tblBorders/>
      </w:tblPr>
      <w:tcPr>
        <w:tcBorders>
          <w:left w:val="single" w:color="48d45b" w:themeColor="accent3" w:themeTint="98" w:sz="12" w:space="0"/>
        </w:tcBorders>
      </w:tcPr>
    </w:tblStylePr>
    <w:tblStylePr w:type="lastRow">
      <w:rPr>
        <w:rFonts w:ascii="Arial" w:hAnsi="Arial"/>
        <w:color w:val="404040"/>
        <w:sz w:val="22"/>
      </w:rPr>
      <w:pPr>
        <w:pBdr/>
        <w:spacing/>
        <w:ind/>
      </w:pPr>
      <w:tblPr>
        <w:tblBorders/>
      </w:tblPr>
      <w:tcPr>
        <w:tcBorders>
          <w:top w:val="single" w:color="48d45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Bordered - Accent 4"/>
    <w:basedOn w:val="797"/>
    <w:uiPriority w:val="99"/>
    <w:pPr>
      <w:pBdr/>
      <w:spacing/>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fcaf3" w:themeColor="accent4" w:themeTint="9A" w:sz="12" w:space="0"/>
        </w:tcBorders>
      </w:tcPr>
    </w:tblStylePr>
    <w:tblStylePr w:type="lastCol">
      <w:rPr>
        <w:rFonts w:ascii="Arial" w:hAnsi="Arial"/>
        <w:color w:val="404040"/>
        <w:sz w:val="22"/>
      </w:rPr>
      <w:pPr>
        <w:pBdr/>
        <w:spacing/>
        <w:ind/>
      </w:pPr>
      <w:tblPr>
        <w:tblBorders/>
      </w:tblPr>
      <w:tcPr>
        <w:tcBorders>
          <w:left w:val="single" w:color="5fcaf3" w:themeColor="accent4" w:themeTint="9A" w:sz="12" w:space="0"/>
        </w:tcBorders>
      </w:tcPr>
    </w:tblStylePr>
    <w:tblStylePr w:type="lastRow">
      <w:rPr>
        <w:rFonts w:ascii="Arial" w:hAnsi="Arial"/>
        <w:color w:val="404040"/>
        <w:sz w:val="22"/>
      </w:rPr>
      <w:pPr>
        <w:pBdr/>
        <w:spacing/>
        <w:ind/>
      </w:pPr>
      <w:tblPr>
        <w:tblBorders/>
      </w:tblPr>
      <w:tcPr>
        <w:tcBorders>
          <w:top w:val="single" w:color="5fcaf3"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Bordered - Accent 5"/>
    <w:basedOn w:val="797"/>
    <w:uiPriority w:val="99"/>
    <w:pPr>
      <w:pBdr/>
      <w:spacing/>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76ccb" w:themeColor="accent5" w:themeTint="9A" w:sz="12" w:space="0"/>
        </w:tcBorders>
      </w:tcPr>
    </w:tblStylePr>
    <w:tblStylePr w:type="lastCol">
      <w:rPr>
        <w:rFonts w:ascii="Arial" w:hAnsi="Arial"/>
        <w:color w:val="404040"/>
        <w:sz w:val="22"/>
      </w:rPr>
      <w:pPr>
        <w:pBdr/>
        <w:spacing/>
        <w:ind/>
      </w:pPr>
      <w:tblPr>
        <w:tblBorders/>
      </w:tblPr>
      <w:tcPr>
        <w:tcBorders>
          <w:left w:val="single" w:color="d76ccb" w:themeColor="accent5" w:themeTint="9A" w:sz="12" w:space="0"/>
        </w:tcBorders>
      </w:tcPr>
    </w:tblStylePr>
    <w:tblStylePr w:type="lastRow">
      <w:rPr>
        <w:rFonts w:ascii="Arial" w:hAnsi="Arial"/>
        <w:color w:val="404040"/>
        <w:sz w:val="22"/>
      </w:rPr>
      <w:pPr>
        <w:pBdr/>
        <w:spacing/>
        <w:ind/>
      </w:pPr>
      <w:tblPr>
        <w:tblBorders/>
      </w:tblPr>
      <w:tcPr>
        <w:tcBorders>
          <w:top w:val="single" w:color="d76cc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Bordered - Accent 6"/>
    <w:basedOn w:val="797"/>
    <w:uiPriority w:val="99"/>
    <w:pPr>
      <w:pBdr/>
      <w:spacing/>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ed873" w:themeColor="accent6" w:themeTint="98" w:sz="12" w:space="0"/>
        </w:tcBorders>
      </w:tcPr>
    </w:tblStylePr>
    <w:tblStylePr w:type="lastCol">
      <w:rPr>
        <w:rFonts w:ascii="Arial" w:hAnsi="Arial"/>
        <w:color w:val="404040"/>
        <w:sz w:val="22"/>
      </w:rPr>
      <w:pPr>
        <w:pBdr/>
        <w:spacing/>
        <w:ind/>
      </w:pPr>
      <w:tblPr>
        <w:tblBorders/>
      </w:tblPr>
      <w:tcPr>
        <w:tcBorders>
          <w:left w:val="single" w:color="8ed873" w:themeColor="accent6" w:themeTint="98" w:sz="12" w:space="0"/>
        </w:tcBorders>
      </w:tcPr>
    </w:tblStylePr>
    <w:tblStylePr w:type="lastRow">
      <w:rPr>
        <w:rFonts w:ascii="Arial" w:hAnsi="Arial"/>
        <w:color w:val="404040"/>
        <w:sz w:val="22"/>
      </w:rPr>
      <w:pPr>
        <w:pBdr/>
        <w:spacing/>
        <w:ind/>
      </w:pPr>
      <w:tblPr>
        <w:tblBorders/>
      </w:tblPr>
      <w:tcPr>
        <w:tcBorders>
          <w:top w:val="single" w:color="8ed873"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25" w:customStyle="1">
    <w:name w:val="Heading 1 Char"/>
    <w:basedOn w:val="796"/>
    <w:uiPriority w:val="9"/>
    <w:pPr>
      <w:pBdr/>
      <w:spacing/>
      <w:ind/>
    </w:pPr>
    <w:rPr>
      <w:rFonts w:ascii="Arial" w:hAnsi="Arial" w:eastAsia="Arial" w:cs="Arial"/>
      <w:color w:val="0f4761" w:themeColor="accent1" w:themeShade="BF"/>
      <w:sz w:val="40"/>
      <w:szCs w:val="40"/>
    </w:rPr>
  </w:style>
  <w:style w:type="character" w:styleId="926" w:customStyle="1">
    <w:name w:val="Heading 2 Char"/>
    <w:basedOn w:val="796"/>
    <w:uiPriority w:val="9"/>
    <w:pPr>
      <w:pBdr/>
      <w:spacing/>
      <w:ind/>
    </w:pPr>
    <w:rPr>
      <w:rFonts w:ascii="Arial" w:hAnsi="Arial" w:eastAsia="Arial" w:cs="Arial"/>
      <w:color w:val="0f4761" w:themeColor="accent1" w:themeShade="BF"/>
      <w:sz w:val="32"/>
      <w:szCs w:val="32"/>
    </w:rPr>
  </w:style>
  <w:style w:type="character" w:styleId="927" w:customStyle="1">
    <w:name w:val="Heading 3 Char"/>
    <w:basedOn w:val="796"/>
    <w:uiPriority w:val="9"/>
    <w:pPr>
      <w:pBdr/>
      <w:spacing/>
      <w:ind/>
    </w:pPr>
    <w:rPr>
      <w:rFonts w:ascii="Arial" w:hAnsi="Arial" w:eastAsia="Arial" w:cs="Arial"/>
      <w:color w:val="0f4761" w:themeColor="accent1" w:themeShade="BF"/>
      <w:sz w:val="28"/>
      <w:szCs w:val="28"/>
    </w:rPr>
  </w:style>
  <w:style w:type="character" w:styleId="928" w:customStyle="1">
    <w:name w:val="Heading 4 Char"/>
    <w:basedOn w:val="796"/>
    <w:uiPriority w:val="9"/>
    <w:pPr>
      <w:pBdr/>
      <w:spacing/>
      <w:ind/>
    </w:pPr>
    <w:rPr>
      <w:rFonts w:ascii="Arial" w:hAnsi="Arial" w:eastAsia="Arial" w:cs="Arial"/>
      <w:i/>
      <w:iCs/>
      <w:color w:val="0f4761" w:themeColor="accent1" w:themeShade="BF"/>
    </w:rPr>
  </w:style>
  <w:style w:type="character" w:styleId="929" w:customStyle="1">
    <w:name w:val="Heading 5 Char"/>
    <w:basedOn w:val="796"/>
    <w:uiPriority w:val="9"/>
    <w:pPr>
      <w:pBdr/>
      <w:spacing/>
      <w:ind/>
    </w:pPr>
    <w:rPr>
      <w:rFonts w:ascii="Arial" w:hAnsi="Arial" w:eastAsia="Arial" w:cs="Arial"/>
      <w:color w:val="0f4761" w:themeColor="accent1" w:themeShade="BF"/>
    </w:rPr>
  </w:style>
  <w:style w:type="character" w:styleId="930" w:customStyle="1">
    <w:name w:val="Heading 6 Char"/>
    <w:basedOn w:val="796"/>
    <w:uiPriority w:val="9"/>
    <w:pPr>
      <w:pBdr/>
      <w:spacing/>
      <w:ind/>
    </w:pPr>
    <w:rPr>
      <w:rFonts w:ascii="Arial" w:hAnsi="Arial" w:eastAsia="Arial" w:cs="Arial"/>
      <w:i/>
      <w:iCs/>
      <w:color w:val="595959" w:themeColor="text1" w:themeTint="A6"/>
    </w:rPr>
  </w:style>
  <w:style w:type="character" w:styleId="931" w:customStyle="1">
    <w:name w:val="Heading 7 Char"/>
    <w:basedOn w:val="796"/>
    <w:uiPriority w:val="9"/>
    <w:pPr>
      <w:pBdr/>
      <w:spacing/>
      <w:ind/>
    </w:pPr>
    <w:rPr>
      <w:rFonts w:ascii="Arial" w:hAnsi="Arial" w:eastAsia="Arial" w:cs="Arial"/>
      <w:color w:val="595959" w:themeColor="text1" w:themeTint="A6"/>
    </w:rPr>
  </w:style>
  <w:style w:type="character" w:styleId="932" w:customStyle="1">
    <w:name w:val="Heading 8 Char"/>
    <w:basedOn w:val="796"/>
    <w:uiPriority w:val="9"/>
    <w:pPr>
      <w:pBdr/>
      <w:spacing/>
      <w:ind/>
    </w:pPr>
    <w:rPr>
      <w:rFonts w:ascii="Arial" w:hAnsi="Arial" w:eastAsia="Arial" w:cs="Arial"/>
      <w:i/>
      <w:iCs/>
      <w:color w:val="272727" w:themeColor="text1" w:themeTint="D8"/>
    </w:rPr>
  </w:style>
  <w:style w:type="character" w:styleId="933" w:customStyle="1">
    <w:name w:val="Heading 9 Char"/>
    <w:basedOn w:val="796"/>
    <w:uiPriority w:val="9"/>
    <w:pPr>
      <w:pBdr/>
      <w:spacing/>
      <w:ind/>
    </w:pPr>
    <w:rPr>
      <w:rFonts w:ascii="Arial" w:hAnsi="Arial" w:eastAsia="Arial" w:cs="Arial"/>
      <w:i/>
      <w:iCs/>
      <w:color w:val="272727" w:themeColor="text1" w:themeTint="D8"/>
    </w:rPr>
  </w:style>
  <w:style w:type="character" w:styleId="934" w:customStyle="1">
    <w:name w:val="Title Char"/>
    <w:basedOn w:val="796"/>
    <w:uiPriority w:val="10"/>
    <w:pPr>
      <w:pBdr/>
      <w:spacing/>
      <w:ind/>
    </w:pPr>
    <w:rPr>
      <w:rFonts w:ascii="Arial" w:hAnsi="Arial" w:eastAsia="Arial" w:cs="Arial"/>
      <w:spacing w:val="-10"/>
      <w:sz w:val="56"/>
      <w:szCs w:val="56"/>
    </w:rPr>
  </w:style>
  <w:style w:type="character" w:styleId="935" w:customStyle="1">
    <w:name w:val="Subtitle Char"/>
    <w:basedOn w:val="796"/>
    <w:uiPriority w:val="11"/>
    <w:pPr>
      <w:pBdr/>
      <w:spacing/>
      <w:ind/>
    </w:pPr>
    <w:rPr>
      <w:color w:val="595959" w:themeColor="text1" w:themeTint="A6"/>
      <w:spacing w:val="15"/>
      <w:sz w:val="28"/>
      <w:szCs w:val="28"/>
    </w:rPr>
  </w:style>
  <w:style w:type="character" w:styleId="936" w:customStyle="1">
    <w:name w:val="Quote Char"/>
    <w:basedOn w:val="796"/>
    <w:uiPriority w:val="29"/>
    <w:pPr>
      <w:pBdr/>
      <w:spacing/>
      <w:ind/>
    </w:pPr>
    <w:rPr>
      <w:i/>
      <w:iCs/>
      <w:color w:val="404040" w:themeColor="text1" w:themeTint="BF"/>
    </w:rPr>
  </w:style>
  <w:style w:type="character" w:styleId="937" w:customStyle="1">
    <w:name w:val="Intense Quote Char"/>
    <w:basedOn w:val="796"/>
    <w:uiPriority w:val="30"/>
    <w:pPr>
      <w:pBdr/>
      <w:spacing/>
      <w:ind/>
    </w:pPr>
    <w:rPr>
      <w:i/>
      <w:iCs/>
      <w:color w:val="0f4761" w:themeColor="accent1" w:themeShade="BF"/>
    </w:rPr>
  </w:style>
  <w:style w:type="paragraph" w:styleId="938">
    <w:name w:val="No Spacing"/>
    <w:basedOn w:val="786"/>
    <w:uiPriority w:val="1"/>
    <w:qFormat/>
    <w:pPr>
      <w:pBdr/>
      <w:spacing/>
      <w:ind/>
    </w:pPr>
  </w:style>
  <w:style w:type="character" w:styleId="939">
    <w:name w:val="Subtle Emphasis"/>
    <w:basedOn w:val="796"/>
    <w:uiPriority w:val="19"/>
    <w:qFormat/>
    <w:pPr>
      <w:pBdr/>
      <w:spacing/>
      <w:ind/>
    </w:pPr>
    <w:rPr>
      <w:i/>
      <w:iCs/>
      <w:color w:val="404040" w:themeColor="text1" w:themeTint="BF"/>
    </w:rPr>
  </w:style>
  <w:style w:type="character" w:styleId="940">
    <w:name w:val="Emphasis"/>
    <w:basedOn w:val="796"/>
    <w:uiPriority w:val="20"/>
    <w:qFormat/>
    <w:pPr>
      <w:pBdr/>
      <w:spacing/>
      <w:ind/>
    </w:pPr>
    <w:rPr>
      <w:i/>
      <w:iCs/>
    </w:rPr>
  </w:style>
  <w:style w:type="character" w:styleId="941">
    <w:name w:val="Strong"/>
    <w:basedOn w:val="796"/>
    <w:uiPriority w:val="22"/>
    <w:qFormat/>
    <w:pPr>
      <w:pBdr/>
      <w:spacing/>
      <w:ind/>
    </w:pPr>
    <w:rPr>
      <w:b/>
      <w:bCs/>
    </w:rPr>
  </w:style>
  <w:style w:type="character" w:styleId="942">
    <w:name w:val="Subtle Reference"/>
    <w:basedOn w:val="796"/>
    <w:uiPriority w:val="31"/>
    <w:qFormat/>
    <w:pPr>
      <w:pBdr/>
      <w:spacing/>
      <w:ind/>
    </w:pPr>
    <w:rPr>
      <w:smallCaps/>
      <w:color w:val="5a5a5a" w:themeColor="text1" w:themeTint="A5"/>
    </w:rPr>
  </w:style>
  <w:style w:type="character" w:styleId="943">
    <w:name w:val="Book Title"/>
    <w:basedOn w:val="796"/>
    <w:uiPriority w:val="33"/>
    <w:qFormat/>
    <w:pPr>
      <w:pBdr/>
      <w:spacing/>
      <w:ind/>
    </w:pPr>
    <w:rPr>
      <w:b/>
      <w:bCs/>
      <w:i/>
      <w:iCs/>
      <w:spacing w:val="5"/>
    </w:rPr>
  </w:style>
  <w:style w:type="character" w:styleId="944" w:customStyle="1">
    <w:name w:val="Header Char"/>
    <w:basedOn w:val="796"/>
    <w:uiPriority w:val="99"/>
    <w:pPr>
      <w:pBdr/>
      <w:spacing/>
      <w:ind/>
    </w:pPr>
  </w:style>
  <w:style w:type="character" w:styleId="945" w:customStyle="1">
    <w:name w:val="Footer Char"/>
    <w:basedOn w:val="796"/>
    <w:uiPriority w:val="99"/>
    <w:pPr>
      <w:pBdr/>
      <w:spacing/>
      <w:ind/>
    </w:pPr>
  </w:style>
  <w:style w:type="paragraph" w:styleId="946">
    <w:name w:val="Caption"/>
    <w:basedOn w:val="786"/>
    <w:next w:val="786"/>
    <w:uiPriority w:val="35"/>
    <w:unhideWhenUsed/>
    <w:qFormat/>
    <w:pPr>
      <w:pBdr/>
      <w:spacing w:after="200"/>
      <w:ind/>
    </w:pPr>
    <w:rPr>
      <w:i/>
      <w:iCs/>
      <w:color w:val="0e2841" w:themeColor="text2"/>
      <w:sz w:val="18"/>
      <w:szCs w:val="18"/>
    </w:rPr>
  </w:style>
  <w:style w:type="character" w:styleId="947" w:customStyle="1">
    <w:name w:val="Footnote Text Char"/>
    <w:basedOn w:val="796"/>
    <w:uiPriority w:val="99"/>
    <w:semiHidden/>
    <w:pPr>
      <w:pBdr/>
      <w:spacing/>
      <w:ind/>
    </w:pPr>
    <w:rPr>
      <w:sz w:val="20"/>
      <w:szCs w:val="20"/>
    </w:rPr>
  </w:style>
  <w:style w:type="paragraph" w:styleId="948">
    <w:name w:val="endnote text"/>
    <w:basedOn w:val="786"/>
    <w:link w:val="949"/>
    <w:uiPriority w:val="99"/>
    <w:semiHidden/>
    <w:unhideWhenUsed/>
    <w:pPr>
      <w:pBdr/>
      <w:spacing/>
      <w:ind/>
    </w:pPr>
    <w:rPr>
      <w:sz w:val="20"/>
      <w:szCs w:val="20"/>
    </w:rPr>
  </w:style>
  <w:style w:type="character" w:styleId="949" w:customStyle="1">
    <w:name w:val="Note de fin Car"/>
    <w:basedOn w:val="796"/>
    <w:link w:val="948"/>
    <w:uiPriority w:val="99"/>
    <w:semiHidden/>
    <w:pPr>
      <w:pBdr/>
      <w:spacing/>
      <w:ind/>
    </w:pPr>
    <w:rPr>
      <w:sz w:val="20"/>
      <w:szCs w:val="20"/>
    </w:rPr>
  </w:style>
  <w:style w:type="character" w:styleId="950">
    <w:name w:val="endnote reference"/>
    <w:basedOn w:val="796"/>
    <w:uiPriority w:val="99"/>
    <w:semiHidden/>
    <w:unhideWhenUsed/>
    <w:pPr>
      <w:pBdr/>
      <w:spacing/>
      <w:ind/>
    </w:pPr>
    <w:rPr>
      <w:vertAlign w:val="superscript"/>
    </w:rPr>
  </w:style>
  <w:style w:type="character" w:styleId="951">
    <w:name w:val="FollowedHyperlink"/>
    <w:basedOn w:val="796"/>
    <w:uiPriority w:val="99"/>
    <w:semiHidden/>
    <w:unhideWhenUsed/>
    <w:pPr>
      <w:pBdr/>
      <w:spacing/>
      <w:ind/>
    </w:pPr>
    <w:rPr>
      <w:color w:val="96607d" w:themeColor="followedHyperlink"/>
      <w:u w:val="single"/>
    </w:rPr>
  </w:style>
  <w:style w:type="paragraph" w:styleId="952">
    <w:name w:val="toc 1"/>
    <w:basedOn w:val="786"/>
    <w:next w:val="786"/>
    <w:uiPriority w:val="39"/>
    <w:unhideWhenUsed/>
    <w:pPr>
      <w:pBdr/>
      <w:spacing w:after="100"/>
      <w:ind/>
    </w:pPr>
  </w:style>
  <w:style w:type="paragraph" w:styleId="953">
    <w:name w:val="toc 2"/>
    <w:basedOn w:val="786"/>
    <w:next w:val="786"/>
    <w:uiPriority w:val="39"/>
    <w:unhideWhenUsed/>
    <w:pPr>
      <w:pBdr/>
      <w:spacing w:after="100"/>
      <w:ind w:left="220"/>
    </w:pPr>
  </w:style>
  <w:style w:type="paragraph" w:styleId="954">
    <w:name w:val="toc 3"/>
    <w:basedOn w:val="786"/>
    <w:next w:val="786"/>
    <w:uiPriority w:val="39"/>
    <w:unhideWhenUsed/>
    <w:pPr>
      <w:pBdr/>
      <w:spacing w:after="100"/>
      <w:ind w:left="440"/>
    </w:pPr>
  </w:style>
  <w:style w:type="paragraph" w:styleId="955">
    <w:name w:val="toc 4"/>
    <w:basedOn w:val="786"/>
    <w:next w:val="786"/>
    <w:uiPriority w:val="39"/>
    <w:unhideWhenUsed/>
    <w:pPr>
      <w:pBdr/>
      <w:spacing w:after="100"/>
      <w:ind w:left="660"/>
    </w:pPr>
  </w:style>
  <w:style w:type="paragraph" w:styleId="956">
    <w:name w:val="toc 5"/>
    <w:basedOn w:val="786"/>
    <w:next w:val="786"/>
    <w:uiPriority w:val="39"/>
    <w:unhideWhenUsed/>
    <w:pPr>
      <w:pBdr/>
      <w:spacing w:after="100"/>
      <w:ind w:left="880"/>
    </w:pPr>
  </w:style>
  <w:style w:type="paragraph" w:styleId="957">
    <w:name w:val="toc 6"/>
    <w:basedOn w:val="786"/>
    <w:next w:val="786"/>
    <w:uiPriority w:val="39"/>
    <w:unhideWhenUsed/>
    <w:pPr>
      <w:pBdr/>
      <w:spacing w:after="100"/>
      <w:ind w:left="1100"/>
    </w:pPr>
  </w:style>
  <w:style w:type="paragraph" w:styleId="958">
    <w:name w:val="toc 7"/>
    <w:basedOn w:val="786"/>
    <w:next w:val="786"/>
    <w:uiPriority w:val="39"/>
    <w:unhideWhenUsed/>
    <w:pPr>
      <w:pBdr/>
      <w:spacing w:after="100"/>
      <w:ind w:left="1320"/>
    </w:pPr>
  </w:style>
  <w:style w:type="paragraph" w:styleId="959">
    <w:name w:val="toc 8"/>
    <w:basedOn w:val="786"/>
    <w:next w:val="786"/>
    <w:uiPriority w:val="39"/>
    <w:unhideWhenUsed/>
    <w:pPr>
      <w:pBdr/>
      <w:spacing w:after="100"/>
      <w:ind w:left="1540"/>
    </w:pPr>
  </w:style>
  <w:style w:type="paragraph" w:styleId="960">
    <w:name w:val="toc 9"/>
    <w:basedOn w:val="786"/>
    <w:next w:val="786"/>
    <w:uiPriority w:val="39"/>
    <w:unhideWhenUsed/>
    <w:pPr>
      <w:pBdr/>
      <w:spacing w:after="100"/>
      <w:ind w:left="1760"/>
    </w:pPr>
  </w:style>
  <w:style w:type="paragraph" w:styleId="961">
    <w:name w:val="TOC Heading"/>
    <w:uiPriority w:val="39"/>
    <w:unhideWhenUsed/>
    <w:pPr>
      <w:pBdr/>
      <w:spacing/>
      <w:ind/>
    </w:pPr>
  </w:style>
  <w:style w:type="paragraph" w:styleId="962">
    <w:name w:val="table of figures"/>
    <w:basedOn w:val="786"/>
    <w:next w:val="786"/>
    <w:uiPriority w:val="99"/>
    <w:unhideWhenUsed/>
    <w:pPr>
      <w:pBdr/>
      <w:spacing/>
      <w:ind/>
    </w:pPr>
  </w:style>
  <w:style w:type="table" w:styleId="963"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64">
    <w:name w:val="Title"/>
    <w:basedOn w:val="786"/>
    <w:next w:val="786"/>
    <w:link w:val="974"/>
    <w:uiPriority w:val="10"/>
    <w:qFormat/>
    <w:pPr>
      <w:pBdr/>
      <w:spacing w:after="80"/>
      <w:ind/>
      <w:contextualSpacing w:val="true"/>
    </w:pPr>
    <w:rPr>
      <w:rFonts w:asciiTheme="majorHAnsi" w:hAnsiTheme="majorHAnsi" w:eastAsiaTheme="majorEastAsia" w:cstheme="majorBidi"/>
      <w:spacing w:val="-10"/>
      <w:sz w:val="56"/>
      <w:szCs w:val="56"/>
    </w:rPr>
  </w:style>
  <w:style w:type="character" w:styleId="965" w:customStyle="1">
    <w:name w:val="Titre 1 Car"/>
    <w:basedOn w:val="796"/>
    <w:link w:val="787"/>
    <w:uiPriority w:val="9"/>
    <w:pPr>
      <w:pBdr/>
      <w:spacing/>
      <w:ind/>
    </w:pPr>
    <w:rPr>
      <w:rFonts w:asciiTheme="majorHAnsi" w:hAnsiTheme="majorHAnsi" w:eastAsiaTheme="majorEastAsia" w:cstheme="majorBidi"/>
      <w:color w:val="0f4761" w:themeColor="accent1" w:themeShade="BF"/>
      <w:sz w:val="40"/>
      <w:szCs w:val="40"/>
    </w:rPr>
  </w:style>
  <w:style w:type="character" w:styleId="966" w:customStyle="1">
    <w:name w:val="Titre 2 Car"/>
    <w:basedOn w:val="796"/>
    <w:link w:val="788"/>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967" w:customStyle="1">
    <w:name w:val="Titre 3 Car"/>
    <w:basedOn w:val="796"/>
    <w:link w:val="789"/>
    <w:uiPriority w:val="9"/>
    <w:semiHidden/>
    <w:pPr>
      <w:pBdr/>
      <w:spacing/>
      <w:ind/>
    </w:pPr>
    <w:rPr>
      <w:rFonts w:eastAsiaTheme="majorEastAsia" w:cstheme="majorBidi"/>
      <w:color w:val="0f4761" w:themeColor="accent1" w:themeShade="BF"/>
      <w:sz w:val="28"/>
      <w:szCs w:val="28"/>
    </w:rPr>
  </w:style>
  <w:style w:type="character" w:styleId="968" w:customStyle="1">
    <w:name w:val="Titre 4 Car"/>
    <w:basedOn w:val="796"/>
    <w:link w:val="790"/>
    <w:uiPriority w:val="9"/>
    <w:semiHidden/>
    <w:pPr>
      <w:pBdr/>
      <w:spacing/>
      <w:ind/>
    </w:pPr>
    <w:rPr>
      <w:rFonts w:eastAsiaTheme="majorEastAsia" w:cstheme="majorBidi"/>
      <w:i/>
      <w:iCs/>
      <w:color w:val="0f4761" w:themeColor="accent1" w:themeShade="BF"/>
    </w:rPr>
  </w:style>
  <w:style w:type="character" w:styleId="969" w:customStyle="1">
    <w:name w:val="Titre 5 Car"/>
    <w:basedOn w:val="796"/>
    <w:link w:val="791"/>
    <w:uiPriority w:val="9"/>
    <w:semiHidden/>
    <w:pPr>
      <w:pBdr/>
      <w:spacing/>
      <w:ind/>
    </w:pPr>
    <w:rPr>
      <w:rFonts w:eastAsiaTheme="majorEastAsia" w:cstheme="majorBidi"/>
      <w:color w:val="0f4761" w:themeColor="accent1" w:themeShade="BF"/>
    </w:rPr>
  </w:style>
  <w:style w:type="character" w:styleId="970" w:customStyle="1">
    <w:name w:val="Titre 6 Car"/>
    <w:basedOn w:val="796"/>
    <w:link w:val="792"/>
    <w:uiPriority w:val="9"/>
    <w:semiHidden/>
    <w:pPr>
      <w:pBdr/>
      <w:spacing/>
      <w:ind/>
    </w:pPr>
    <w:rPr>
      <w:rFonts w:eastAsiaTheme="majorEastAsia" w:cstheme="majorBidi"/>
      <w:i/>
      <w:iCs/>
      <w:color w:val="595959" w:themeColor="text1" w:themeTint="A6"/>
    </w:rPr>
  </w:style>
  <w:style w:type="character" w:styleId="971" w:customStyle="1">
    <w:name w:val="Titre 7 Car"/>
    <w:basedOn w:val="796"/>
    <w:link w:val="793"/>
    <w:uiPriority w:val="9"/>
    <w:semiHidden/>
    <w:pPr>
      <w:pBdr/>
      <w:spacing/>
      <w:ind/>
    </w:pPr>
    <w:rPr>
      <w:rFonts w:eastAsiaTheme="majorEastAsia" w:cstheme="majorBidi"/>
      <w:color w:val="595959" w:themeColor="text1" w:themeTint="A6"/>
    </w:rPr>
  </w:style>
  <w:style w:type="character" w:styleId="972" w:customStyle="1">
    <w:name w:val="Titre 8 Car"/>
    <w:basedOn w:val="796"/>
    <w:link w:val="794"/>
    <w:uiPriority w:val="9"/>
    <w:semiHidden/>
    <w:pPr>
      <w:pBdr/>
      <w:spacing/>
      <w:ind/>
    </w:pPr>
    <w:rPr>
      <w:rFonts w:eastAsiaTheme="majorEastAsia" w:cstheme="majorBidi"/>
      <w:i/>
      <w:iCs/>
      <w:color w:val="272727" w:themeColor="text1" w:themeTint="D8"/>
    </w:rPr>
  </w:style>
  <w:style w:type="character" w:styleId="973" w:customStyle="1">
    <w:name w:val="Titre 9 Car"/>
    <w:basedOn w:val="796"/>
    <w:link w:val="795"/>
    <w:uiPriority w:val="9"/>
    <w:semiHidden/>
    <w:pPr>
      <w:pBdr/>
      <w:spacing/>
      <w:ind/>
    </w:pPr>
    <w:rPr>
      <w:rFonts w:eastAsiaTheme="majorEastAsia" w:cstheme="majorBidi"/>
      <w:color w:val="272727" w:themeColor="text1" w:themeTint="D8"/>
    </w:rPr>
  </w:style>
  <w:style w:type="character" w:styleId="974" w:customStyle="1">
    <w:name w:val="Titre Car"/>
    <w:basedOn w:val="796"/>
    <w:link w:val="964"/>
    <w:uiPriority w:val="10"/>
    <w:pPr>
      <w:pBdr/>
      <w:spacing/>
      <w:ind/>
    </w:pPr>
    <w:rPr>
      <w:rFonts w:asciiTheme="majorHAnsi" w:hAnsiTheme="majorHAnsi" w:eastAsiaTheme="majorEastAsia" w:cstheme="majorBidi"/>
      <w:spacing w:val="-10"/>
      <w:sz w:val="56"/>
      <w:szCs w:val="56"/>
    </w:rPr>
  </w:style>
  <w:style w:type="paragraph" w:styleId="975">
    <w:name w:val="Subtitle"/>
    <w:basedOn w:val="786"/>
    <w:next w:val="786"/>
    <w:link w:val="976"/>
    <w:uiPriority w:val="11"/>
    <w:qFormat/>
    <w:pPr>
      <w:pBdr/>
      <w:spacing w:after="160"/>
      <w:ind/>
    </w:pPr>
    <w:rPr>
      <w:color w:val="595959"/>
      <w:sz w:val="28"/>
      <w:szCs w:val="28"/>
    </w:rPr>
  </w:style>
  <w:style w:type="character" w:styleId="976" w:customStyle="1">
    <w:name w:val="Sous-titre Car"/>
    <w:basedOn w:val="796"/>
    <w:link w:val="975"/>
    <w:uiPriority w:val="11"/>
    <w:pPr>
      <w:pBdr/>
      <w:spacing/>
      <w:ind/>
    </w:pPr>
    <w:rPr>
      <w:rFonts w:eastAsiaTheme="majorEastAsia" w:cstheme="majorBidi"/>
      <w:color w:val="595959" w:themeColor="text1" w:themeTint="A6"/>
      <w:spacing w:val="15"/>
      <w:sz w:val="28"/>
      <w:szCs w:val="28"/>
    </w:rPr>
  </w:style>
  <w:style w:type="paragraph" w:styleId="977">
    <w:name w:val="Quote"/>
    <w:basedOn w:val="786"/>
    <w:next w:val="786"/>
    <w:link w:val="978"/>
    <w:uiPriority w:val="29"/>
    <w:qFormat/>
    <w:pPr>
      <w:pBdr/>
      <w:spacing w:after="160" w:before="160"/>
      <w:ind/>
      <w:jc w:val="center"/>
    </w:pPr>
    <w:rPr>
      <w:i/>
      <w:iCs/>
      <w:color w:val="404040" w:themeColor="text1" w:themeTint="BF"/>
    </w:rPr>
  </w:style>
  <w:style w:type="character" w:styleId="978" w:customStyle="1">
    <w:name w:val="Citation Car"/>
    <w:basedOn w:val="796"/>
    <w:link w:val="977"/>
    <w:uiPriority w:val="29"/>
    <w:pPr>
      <w:pBdr/>
      <w:spacing/>
      <w:ind/>
    </w:pPr>
    <w:rPr>
      <w:i/>
      <w:iCs/>
      <w:color w:val="404040" w:themeColor="text1" w:themeTint="BF"/>
    </w:rPr>
  </w:style>
  <w:style w:type="paragraph" w:styleId="979">
    <w:name w:val="List Paragraph"/>
    <w:basedOn w:val="786"/>
    <w:uiPriority w:val="34"/>
    <w:qFormat/>
    <w:pPr>
      <w:pBdr/>
      <w:spacing/>
      <w:ind w:left="720"/>
      <w:contextualSpacing w:val="true"/>
    </w:pPr>
  </w:style>
  <w:style w:type="character" w:styleId="980">
    <w:name w:val="Intense Emphasis"/>
    <w:basedOn w:val="796"/>
    <w:uiPriority w:val="21"/>
    <w:qFormat/>
    <w:pPr>
      <w:pBdr/>
      <w:spacing/>
      <w:ind/>
    </w:pPr>
    <w:rPr>
      <w:i/>
      <w:iCs/>
      <w:color w:val="0f4761" w:themeColor="accent1" w:themeShade="BF"/>
    </w:rPr>
  </w:style>
  <w:style w:type="paragraph" w:styleId="981">
    <w:name w:val="Intense Quote"/>
    <w:basedOn w:val="786"/>
    <w:next w:val="786"/>
    <w:link w:val="98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82" w:customStyle="1">
    <w:name w:val="Citation intense Car"/>
    <w:basedOn w:val="796"/>
    <w:link w:val="981"/>
    <w:uiPriority w:val="30"/>
    <w:pPr>
      <w:pBdr/>
      <w:spacing/>
      <w:ind/>
    </w:pPr>
    <w:rPr>
      <w:i/>
      <w:iCs/>
      <w:color w:val="0f4761" w:themeColor="accent1" w:themeShade="BF"/>
    </w:rPr>
  </w:style>
  <w:style w:type="character" w:styleId="983">
    <w:name w:val="Intense Reference"/>
    <w:basedOn w:val="796"/>
    <w:uiPriority w:val="32"/>
    <w:qFormat/>
    <w:pPr>
      <w:pBdr/>
      <w:spacing/>
      <w:ind/>
    </w:pPr>
    <w:rPr>
      <w:b/>
      <w:bCs/>
      <w:smallCaps/>
      <w:color w:val="0f4761" w:themeColor="accent1" w:themeShade="BF"/>
      <w:spacing w:val="5"/>
    </w:rPr>
  </w:style>
  <w:style w:type="paragraph" w:styleId="984">
    <w:name w:val="footnote text"/>
    <w:basedOn w:val="786"/>
    <w:link w:val="985"/>
    <w:uiPriority w:val="99"/>
    <w:semiHidden/>
    <w:unhideWhenUsed/>
    <w:pPr>
      <w:pBdr/>
      <w:spacing/>
      <w:ind/>
    </w:pPr>
    <w:rPr>
      <w:sz w:val="20"/>
      <w:szCs w:val="20"/>
    </w:rPr>
  </w:style>
  <w:style w:type="character" w:styleId="985" w:customStyle="1">
    <w:name w:val="Note de bas de page Car"/>
    <w:basedOn w:val="796"/>
    <w:link w:val="984"/>
    <w:uiPriority w:val="99"/>
    <w:semiHidden/>
    <w:pPr>
      <w:pBdr/>
      <w:spacing/>
      <w:ind/>
    </w:pPr>
    <w:rPr>
      <w:sz w:val="20"/>
      <w:szCs w:val="20"/>
    </w:rPr>
  </w:style>
  <w:style w:type="character" w:styleId="986">
    <w:name w:val="footnote reference"/>
    <w:basedOn w:val="796"/>
    <w:uiPriority w:val="99"/>
    <w:semiHidden/>
    <w:unhideWhenUsed/>
    <w:pPr>
      <w:pBdr/>
      <w:spacing/>
      <w:ind/>
    </w:pPr>
    <w:rPr>
      <w:vertAlign w:val="superscript"/>
    </w:rPr>
  </w:style>
  <w:style w:type="paragraph" w:styleId="987">
    <w:name w:val="annotation text"/>
    <w:basedOn w:val="786"/>
    <w:link w:val="988"/>
    <w:uiPriority w:val="99"/>
    <w:semiHidden/>
    <w:unhideWhenUsed/>
    <w:pPr>
      <w:pBdr/>
      <w:spacing/>
      <w:ind/>
    </w:pPr>
    <w:rPr>
      <w:sz w:val="20"/>
      <w:szCs w:val="20"/>
    </w:rPr>
  </w:style>
  <w:style w:type="character" w:styleId="988" w:customStyle="1">
    <w:name w:val="Commentaire Car"/>
    <w:basedOn w:val="796"/>
    <w:link w:val="987"/>
    <w:uiPriority w:val="99"/>
    <w:semiHidden/>
    <w:pPr>
      <w:pBdr/>
      <w:spacing/>
      <w:ind/>
    </w:pPr>
    <w:rPr>
      <w:sz w:val="20"/>
      <w:szCs w:val="20"/>
    </w:rPr>
  </w:style>
  <w:style w:type="character" w:styleId="989">
    <w:name w:val="annotation reference"/>
    <w:basedOn w:val="796"/>
    <w:uiPriority w:val="99"/>
    <w:semiHidden/>
    <w:unhideWhenUsed/>
    <w:pPr>
      <w:pBdr/>
      <w:spacing/>
      <w:ind/>
    </w:pPr>
    <w:rPr>
      <w:sz w:val="16"/>
      <w:szCs w:val="16"/>
    </w:rPr>
  </w:style>
  <w:style w:type="paragraph" w:styleId="990">
    <w:name w:val="Normal (Web)"/>
    <w:basedOn w:val="786"/>
    <w:uiPriority w:val="99"/>
    <w:semiHidden/>
    <w:unhideWhenUsed/>
    <w:pPr>
      <w:pBdr/>
      <w:spacing w:after="100" w:afterAutospacing="1" w:before="100" w:beforeAutospacing="1"/>
      <w:ind/>
    </w:pPr>
    <w:rPr>
      <w:rFonts w:ascii="Times New Roman" w:hAnsi="Times New Roman" w:eastAsia="Times New Roman" w:cs="Times New Roman"/>
    </w:rPr>
  </w:style>
  <w:style w:type="paragraph" w:styleId="991">
    <w:name w:val="Header"/>
    <w:basedOn w:val="786"/>
    <w:link w:val="992"/>
    <w:uiPriority w:val="99"/>
    <w:unhideWhenUsed/>
    <w:pPr>
      <w:pBdr/>
      <w:tabs>
        <w:tab w:val="center" w:leader="none" w:pos="4536"/>
        <w:tab w:val="right" w:leader="none" w:pos="9072"/>
      </w:tabs>
      <w:spacing/>
      <w:ind/>
    </w:pPr>
  </w:style>
  <w:style w:type="character" w:styleId="992" w:customStyle="1">
    <w:name w:val="En-tête Car"/>
    <w:basedOn w:val="796"/>
    <w:link w:val="991"/>
    <w:uiPriority w:val="99"/>
    <w:pPr>
      <w:pBdr/>
      <w:spacing/>
      <w:ind/>
    </w:pPr>
  </w:style>
  <w:style w:type="paragraph" w:styleId="993">
    <w:name w:val="Footer"/>
    <w:basedOn w:val="786"/>
    <w:link w:val="994"/>
    <w:uiPriority w:val="99"/>
    <w:unhideWhenUsed/>
    <w:pPr>
      <w:pBdr/>
      <w:tabs>
        <w:tab w:val="center" w:leader="none" w:pos="4536"/>
        <w:tab w:val="right" w:leader="none" w:pos="9072"/>
      </w:tabs>
      <w:spacing/>
      <w:ind/>
    </w:pPr>
  </w:style>
  <w:style w:type="character" w:styleId="994" w:customStyle="1">
    <w:name w:val="Pied de page Car"/>
    <w:basedOn w:val="796"/>
    <w:link w:val="993"/>
    <w:uiPriority w:val="99"/>
    <w:pPr>
      <w:pBdr/>
      <w:spacing/>
      <w:ind/>
    </w:pPr>
  </w:style>
  <w:style w:type="character" w:styleId="995">
    <w:name w:val="Hyperlink"/>
    <w:basedOn w:val="796"/>
    <w:uiPriority w:val="99"/>
    <w:unhideWhenUsed/>
    <w:pPr>
      <w:pBdr/>
      <w:spacing/>
      <w:ind/>
    </w:pPr>
    <w:rPr>
      <w:color w:val="467886" w:themeColor="hyperlink"/>
      <w:u w:val="single"/>
    </w:rPr>
  </w:style>
  <w:style w:type="character" w:styleId="996">
    <w:name w:val="Unresolved Mention"/>
    <w:basedOn w:val="796"/>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s://arviva.org/tremplins" TargetMode="External"/><Relationship Id="rId12" Type="http://schemas.openxmlformats.org/officeDocument/2006/relationships/hyperlink" Target="mailto:tremplins@arviva.org" TargetMode="External"/><Relationship Id="rId13" Type="http://schemas.openxmlformats.org/officeDocument/2006/relationships/hyperlink" Target="https://nuage.arviva.org/index.php/s/4ySGFsrYpXFdzWC" TargetMode="External"/><Relationship Id="rId14" Type="http://schemas.openxmlformats.org/officeDocument/2006/relationships/hyperlink" Target="https://us06web.zoom.us/j/82436328677" TargetMode="External"/><Relationship Id="rId15" Type="http://schemas.openxmlformats.org/officeDocument/2006/relationships/hyperlink" Target="https://us06web.zoom.us/j/84917012476" TargetMode="External"/><Relationship Id="rId16" Type="http://schemas.openxmlformats.org/officeDocument/2006/relationships/hyperlink" Target="https://framaforms.org/tremplins-arviva-2025-formulaire-de-candidature-1749656338" TargetMode="External"/><Relationship Id="rId17" Type="http://schemas.openxmlformats.org/officeDocument/2006/relationships/hyperlink" Target="https://nuage.arviva.org/index.php/s/4ySGFsrYpXFdzWC" TargetMode="External"/><Relationship Id="rId18" Type="http://schemas.openxmlformats.org/officeDocument/2006/relationships/comments" Target="comments.xml" /><Relationship Id="rId19" Type="http://schemas.microsoft.com/office/2011/relationships/commentsExtended" Target="commentsExtended.xml" /><Relationship Id="rId20" Type="http://schemas.microsoft.com/office/2018/08/relationships/commentsExtensible" Target="commentsExtensible.xml" /><Relationship Id="rId21" Type="http://schemas.microsoft.com/office/2016/09/relationships/commentsIds" Target="commentsId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nP3np52R0WJAJck3V72uKyZ7A==">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Solweig Barbier</dc:creator>
  <cp:lastModifiedBy>Anonyme</cp:lastModifiedBy>
  <cp:revision>17</cp:revision>
  <dcterms:created xsi:type="dcterms:W3CDTF">2024-05-03T07:58:00Z</dcterms:created>
  <dcterms:modified xsi:type="dcterms:W3CDTF">2025-07-04T14:58:32Z</dcterms:modified>
</cp:coreProperties>
</file>